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Znak: SPZOZ/K/KON/ 4/2023                                                          </w:t>
      </w:r>
    </w:p>
    <w:p>
      <w:pPr>
        <w:pStyle w:val="Normal"/>
        <w:spacing w:before="0" w:after="160"/>
        <w:rPr/>
      </w:pPr>
      <w:r>
        <w:rPr/>
        <w:t xml:space="preserve">                                                                                                                             </w:t>
      </w:r>
      <w:r>
        <w:rPr>
          <w:rFonts w:cs="Calibri"/>
          <w:i/>
        </w:rPr>
        <w:t xml:space="preserve">         </w:t>
      </w:r>
      <w:r>
        <w:rPr/>
        <w:t>Słupca, 20 kwietnia 2023 r.</w:t>
      </w:r>
    </w:p>
    <w:p>
      <w:pPr>
        <w:pStyle w:val="Normal"/>
        <w:spacing w:before="0" w:after="1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agwek1"/>
        <w:spacing w:lineRule="auto" w:line="360" w:before="0" w:after="0"/>
        <w:jc w:val="center"/>
        <w:rPr>
          <w:rFonts w:ascii="Calibri" w:hAnsi="Calibri"/>
        </w:rPr>
      </w:pPr>
      <w:r>
        <w:rPr>
          <w:rFonts w:cs="Calibri" w:ascii="Calibri" w:hAnsi="Calibri"/>
          <w:sz w:val="22"/>
          <w:szCs w:val="22"/>
        </w:rPr>
        <w:t xml:space="preserve">MATERIAŁY INFORMACYJNE O PRZEDMIOCIE KONKURSU OFERT  NA </w:t>
      </w:r>
      <w:r>
        <w:rPr>
          <w:rFonts w:cs="Times New Roman" w:ascii="Calibri" w:hAnsi="Calibri"/>
          <w:b/>
          <w:bCs/>
          <w:sz w:val="22"/>
          <w:szCs w:val="22"/>
        </w:rPr>
        <w:t xml:space="preserve"> UDZIELANIE LEKARSKICH  ŚWIADCZEŃ ZDROWOTNYCH W ZAKRESIE NEUROLOGII W SAMODZIELNYM PUBLICZNYM ZAKŁADZIE OPIEKI ZDROWOTNEJ W SŁUPCY</w:t>
      </w:r>
    </w:p>
    <w:p>
      <w:pPr>
        <w:pStyle w:val="Normal"/>
        <w:spacing w:before="0" w:after="0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Podtytu"/>
        <w:tabs>
          <w:tab w:val="clear" w:pos="708"/>
          <w:tab w:val="left" w:pos="1260" w:leader="none"/>
        </w:tabs>
        <w:spacing w:lineRule="auto" w:line="240"/>
        <w:jc w:val="center"/>
        <w:rPr>
          <w:rFonts w:cs="Calibri"/>
          <w:b w:val="false"/>
          <w:b w:val="false"/>
          <w:color w:val="FF0000"/>
          <w:sz w:val="22"/>
          <w:szCs w:val="22"/>
        </w:rPr>
      </w:pPr>
      <w:r>
        <w:rPr>
          <w:rFonts w:cs="Calibri"/>
          <w:b w:val="false"/>
          <w:color w:val="FF0000"/>
          <w:sz w:val="22"/>
          <w:szCs w:val="22"/>
        </w:rPr>
      </w:r>
    </w:p>
    <w:p>
      <w:pPr>
        <w:pStyle w:val="Normal"/>
        <w:spacing w:before="0" w:after="0"/>
        <w:jc w:val="center"/>
        <w:rPr>
          <w:rFonts w:cs="Calibri"/>
          <w:b/>
          <w:b/>
          <w:color w:val="FF0000"/>
          <w:sz w:val="22"/>
          <w:szCs w:val="22"/>
        </w:rPr>
      </w:pPr>
      <w:r>
        <w:rPr>
          <w:rFonts w:cs="Calibri"/>
          <w:b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left" w:pos="5145" w:leader="none"/>
        </w:tabs>
        <w:jc w:val="both"/>
        <w:rPr>
          <w:b/>
          <w:b/>
          <w:bCs/>
        </w:rPr>
      </w:pPr>
      <w:r>
        <w:rPr>
          <w:b/>
          <w:bCs/>
        </w:rPr>
        <w:t>I.  Postanowienia Ogólne: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 xml:space="preserve">Konkurs ofert będzie przeprowadzony na podstawie art. 26 ustawy z dnia 15 kwietnia 2011 r.                     o działalności leczniczej (Dz.U.2021.711 t.j.).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 xml:space="preserve">Do konkursu ofert stosuje się odpowiednio art. 140, art. 141, art. 146 ust. 1, art. 147-150, </w:t>
        <w:br/>
        <w:t>art. 151 ust. 1, 2 i 4-6, art. 152, art. 153 i art. 154 ust. 1 i 2 ustawy z dnia 27 sierpnia 2004 r.                              o świadczeniach opieki zdrowotnej finansowanych ze środków publicznych (Dz.U.2021.1285 t.j.)  przy czym prawa i obowiązki Prezesa Funduszu i Dyrektora Oddziału Wojewódzkiego Funduszu wykonuje Dyrektor Samodzielnego Publicznego Zakładu Opieki Zdrowotnej w Słupcy.</w:t>
      </w:r>
    </w:p>
    <w:p>
      <w:pPr>
        <w:pStyle w:val="Normal"/>
        <w:spacing w:lineRule="auto" w:line="240" w:before="0" w:after="0"/>
        <w:ind w:start="360" w:end="0" w:hanging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II.  Słowniczek pojęć.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Ilekroć w „Materiałach informacyjnych o przedmiocie konkursu ofert…” oraz w załącznikach do tego dokumentu jest mowa o: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Cs/>
        </w:rPr>
      </w:pPr>
      <w:r>
        <w:rPr>
          <w:bCs/>
        </w:rPr>
        <w:t>Udzielającym Zamówienia - rozumie się przez to Samodzielny Publiczny Zakład Opieki Zdrowotnej w Słupcy,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Cs/>
        </w:rPr>
      </w:pPr>
      <w:r>
        <w:rPr>
          <w:bCs/>
        </w:rPr>
        <w:t>przedmiocie konkursu ofert - rozumie się przez to udzielanie lekarskich świadczeń zdrowotnych w zakresie neurologii w Samodzielnym Publicznym Zakładzie Opieki Zdrowotnej w Słupcy,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Cs/>
        </w:rPr>
      </w:pPr>
      <w:r>
        <w:rPr>
          <w:bCs/>
        </w:rPr>
        <w:t xml:space="preserve">formularzu oferty - rozumie się przez to obowiązujący formularz oferty przygotowany przez Udzielającego Zamówienia, stanowiący załącznik do niniejszych „Materiałów informacyjnych </w:t>
        <w:br/>
        <w:t>o przedmiocie konkursu ofert …”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bCs/>
        </w:rPr>
      </w:pPr>
      <w:r>
        <w:rPr>
          <w:bCs/>
        </w:rPr>
        <w:t>umowie – rozumie się przez to wzór umowy opracowany przez Udzielającego Zamówienia stanowiącej załącznik do niniejszych „Materiałów informacyjnych o przedmiocie konkursu ofert…”.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III.  Określenie przedmiotu konkursu.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start="357" w:end="0" w:hanging="357"/>
        <w:jc w:val="both"/>
        <w:rPr>
          <w:bCs/>
        </w:rPr>
      </w:pPr>
      <w:r>
        <w:rPr>
          <w:bCs/>
        </w:rPr>
        <w:t>Przedmiot zamówienia obejmuje udzielanie</w:t>
      </w:r>
      <w:r>
        <w:rPr>
          <w:b w:val="false"/>
          <w:bCs w:val="false"/>
        </w:rPr>
        <w:t xml:space="preserve"> </w:t>
      </w:r>
      <w:r>
        <w:rPr>
          <w:rFonts w:cs="Times New Roman"/>
          <w:b w:val="false"/>
          <w:bCs w:val="false"/>
        </w:rPr>
        <w:t xml:space="preserve">lekarskich świadczeń zdrowotnych w </w:t>
      </w:r>
      <w:r>
        <w:rPr>
          <w:rFonts w:eastAsia="" w:cs="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zakresie neurologii</w:t>
      </w:r>
      <w:r>
        <w:rPr>
          <w:rFonts w:cs="Times New Roman"/>
          <w:b w:val="false"/>
          <w:bCs w:val="false"/>
        </w:rPr>
        <w:t xml:space="preserve"> w  Poradni Neurologicznej w Samodzielnym Publicznym Zakładzie Opieki Zdrowotnej         w Słupcy oraz wykonywanie konsultacji neurologicznych pacjentów Udzielającego zamówienie według aktualnego zapotrzebowania na świadczenia zdrowotne określonego rodzaju, w okresie od 01.05.2023 r. </w:t>
      </w:r>
      <w:r>
        <w:rPr>
          <w:rFonts w:cs="Times New Roman"/>
          <w:b w:val="false"/>
          <w:bCs w:val="false"/>
        </w:rPr>
        <w:t>d</w:t>
      </w:r>
      <w:r>
        <w:rPr>
          <w:rFonts w:cs="Times New Roman"/>
          <w:b w:val="false"/>
          <w:bCs w:val="false"/>
        </w:rPr>
        <w:t xml:space="preserve">o 30.04.2028 r. 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start="360" w:end="0" w:hanging="360"/>
        <w:jc w:val="both"/>
        <w:rPr>
          <w:color w:val="000000"/>
        </w:rPr>
      </w:pPr>
      <w:r>
        <w:rPr>
          <w:color w:val="000000"/>
        </w:rPr>
        <w:t>Przewidywana maksymalna liczba godzin objęta przedmiotem zamówienia wynosi</w:t>
      </w:r>
      <w:r>
        <w:rPr>
          <w:b/>
          <w:color w:val="000000"/>
        </w:rPr>
        <w:t xml:space="preserve">  216 godzin </w:t>
      </w:r>
      <w:r>
        <w:rPr>
          <w:color w:val="000000"/>
        </w:rPr>
        <w:t>miesięcznie w Poradni Neurologicznej oraz średnio 21 konsultacji miesięcznie pacjentów Udzielającego zamówienie.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start="360" w:end="0" w:hanging="360"/>
        <w:jc w:val="both"/>
        <w:rPr/>
      </w:pPr>
      <w:r>
        <w:rPr/>
        <w:t>Świadczenia zdrowotne udzielane będą w szczególności, lecz nie wyłącznie, dla obszaru terytorialnego powiatu słupeckiego –ok. 60 tys. osób ubezpieczonych i innych uprawnionych.</w:t>
      </w:r>
    </w:p>
    <w:p>
      <w:pPr>
        <w:pStyle w:val="Podtytu"/>
        <w:tabs>
          <w:tab w:val="clear" w:pos="708"/>
          <w:tab w:val="left" w:pos="1260" w:leader="none"/>
        </w:tabs>
        <w:spacing w:lineRule="auto" w:line="240"/>
        <w:rPr>
          <w:b w:val="false"/>
          <w:b w:val="false"/>
          <w:bCs w:val="false"/>
          <w:color w:val="FF0000"/>
          <w:sz w:val="22"/>
          <w:szCs w:val="22"/>
        </w:rPr>
      </w:pPr>
      <w:r>
        <w:rPr>
          <w:b w:val="false"/>
          <w:bCs w:val="false"/>
          <w:color w:val="FF0000"/>
          <w:sz w:val="22"/>
          <w:szCs w:val="22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/>
      </w:pPr>
      <w:r>
        <w:rPr>
          <w:b/>
          <w:bCs/>
        </w:rPr>
        <w:t>IV. Wymagania dla Oferentów przystępujących do konkursu ofert na  udzielanie lekarskich świadczeń zdrowotnych w zakresie neurologii w Samodzielnym Publicznym Zakładzie Opieki Zdrowotnej w Słupcy.</w:t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Cs/>
          <w:u w:val="single"/>
        </w:rPr>
      </w:pPr>
      <w:r>
        <w:rPr>
          <w:bCs/>
          <w:u w:val="single"/>
        </w:rPr>
        <w:t>1.  PODSTAWOWE ZASADY PRZEPROWADZENIA KONKURSU OFERT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Ofertę składa oferent dysponujący odpowiednimi kwalifikacjami i uprawnieniami do wykonywania przedmiotu postępowania konkursowego  tj: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start="360" w:end="0" w:hanging="0"/>
        <w:jc w:val="both"/>
        <w:rPr/>
      </w:pPr>
      <w:r>
        <w:rPr>
          <w:rFonts w:cs="Calibri"/>
          <w:bCs/>
        </w:rPr>
        <w:t>- lekarz specjalista w zakresie neurologii.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/>
      </w:pPr>
      <w:r>
        <w:rPr/>
        <w:t xml:space="preserve">Korespondencja dotycząca konkursu powinna być kierowana przez oferenta na adres: Samodzielny Publiczny Zakład Opieki Zdrowotnej w Słupcy, ul. Traugutta 7, 62-400 Słupca, </w:t>
        <w:br/>
        <w:t>z dopiskiem na kopercie „Konkurs ofert  na</w:t>
      </w:r>
      <w:r>
        <w:rPr>
          <w:bCs/>
        </w:rPr>
        <w:t xml:space="preserve"> udzielanie lekarskich świadczeń zdrowotnych                                  w zakresie neurologii w Samodzielnym Publicznym Zakładzie Opieki Zdrowotnej w Słupcy</w:t>
      </w:r>
      <w:r>
        <w:rPr/>
        <w:t>”.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/>
      </w:pPr>
      <w:r>
        <w:rPr/>
        <w:t xml:space="preserve">Dokonując wyboru najkorzystniejszej oferty Udzielający Zamówienia stosuje zasady określone                      w niniejszych „Materiałach informacyjnych o przedmiocie konkursu ofert…” oraz </w:t>
        <w:br/>
        <w:t xml:space="preserve">w „Regulaminie konkursu”, a także w ustawie z dnia 27 sierpnia 2004 r. o świadczeniach opieki zdrowotnej finansowanych ze środków publicznych (Dz.U.2021.1285 t.j.) </w:t>
        <w:br/>
        <w:t>w zakresie i na zasadach określonych w art. 26 ust. 4 ustawy z dnia 15 kwietnia 2011 r.</w:t>
        <w:br/>
        <w:t>o działalności leczniczej (Dz.U.2021.711 t.j.).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/>
      </w:pPr>
      <w:r>
        <w:rPr/>
        <w:t xml:space="preserve">Oferent wyraża zgodę na doręczanie oświadczeń i zawiadomień za pośrednictwem środków komunikacji elektronicznej, bez zachowania wymogów dotyczących podpisu elektronicznego                     w rozumieniu </w:t>
      </w:r>
      <w:r>
        <w:rPr>
          <w:rStyle w:val="Czeinternetowe"/>
          <w:color w:val="000000"/>
        </w:rPr>
        <w:t>art. 3 pkt 10</w:t>
      </w:r>
      <w:r>
        <w:rPr/>
        <w:t xml:space="preserve"> rozporządzenia Parlamentu Europejskiego i Rady (UE) nr 910/2014                   z dnia 23 lipca 2014 r. w sprawie identyfikacji elektronicznej i usług zaufania w odniesieniu do transakcji elektronicznych na rynku wewnętrznym oraz uchylającego dyrektywę </w:t>
      </w:r>
      <w:hyperlink r:id="rId2">
        <w:r>
          <w:rPr>
            <w:rStyle w:val="Czeinternetowe"/>
            <w:color w:val="000000"/>
          </w:rPr>
          <w:t>1999/93/WE</w:t>
        </w:r>
      </w:hyperlink>
      <w:r>
        <w:rPr>
          <w:color w:val="000000"/>
        </w:rPr>
        <w:t xml:space="preserve"> </w:t>
      </w:r>
      <w:r>
        <w:rPr/>
        <w:t xml:space="preserve">(Dz.Urz. UE L 257 z 28.08.2014, </w:t>
      </w:r>
      <w:hyperlink r:id="rId3">
        <w:r>
          <w:rPr>
            <w:rStyle w:val="Czeinternetowe"/>
            <w:color w:val="000000"/>
          </w:rPr>
          <w:t>str. 73</w:t>
        </w:r>
      </w:hyperlink>
      <w:r>
        <w:rPr/>
        <w:t>) oraz zobowiązuje się niezwłocznie potwierdzić doręczenie pisma na wskazany przez oferenta adres, jednak nie później niż do końca dnia roboczego następującego po dniu, w którym przekazano oświadczenie lub zawiadomienie.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/>
      </w:pPr>
      <w:r>
        <w:rPr/>
        <w:t xml:space="preserve">Udzielający Zamówienia zastrzega sobie prawo do odwołania konkursu, w całości lub części oraz przesunięcia terminów, bez podania przyczyny.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color w:val="000000"/>
        </w:rPr>
      </w:pPr>
      <w:r>
        <w:rPr>
          <w:color w:val="000000"/>
        </w:rPr>
        <w:t>O odwołaniu konkursu ofert Udzielający Zamówienia zawiadamia pisemnie oferentów biorących w nim udział.</w:t>
      </w:r>
    </w:p>
    <w:p>
      <w:pPr>
        <w:pStyle w:val="Podtytu"/>
        <w:tabs>
          <w:tab w:val="clear" w:pos="708"/>
          <w:tab w:val="left" w:pos="1260" w:leader="none"/>
        </w:tabs>
        <w:spacing w:lineRule="auto" w:line="240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Podtytu"/>
        <w:tabs>
          <w:tab w:val="clear" w:pos="708"/>
          <w:tab w:val="left" w:pos="1260" w:leader="none"/>
        </w:tabs>
        <w:spacing w:lineRule="auto" w:line="240"/>
        <w:rPr>
          <w:b w:val="false"/>
          <w:b w:val="false"/>
          <w:color w:val="000000"/>
          <w:sz w:val="22"/>
          <w:szCs w:val="22"/>
          <w:u w:val="single"/>
        </w:rPr>
      </w:pPr>
      <w:r>
        <w:rPr>
          <w:b w:val="false"/>
          <w:color w:val="000000"/>
          <w:sz w:val="22"/>
          <w:szCs w:val="22"/>
          <w:u w:val="single"/>
        </w:rPr>
        <w:t>2. PRZYGOTOWANIE OFERTY</w:t>
      </w:r>
    </w:p>
    <w:p>
      <w:pPr>
        <w:pStyle w:val="Podtytu"/>
        <w:tabs>
          <w:tab w:val="clear" w:pos="708"/>
          <w:tab w:val="left" w:pos="1260" w:leader="none"/>
        </w:tabs>
        <w:spacing w:lineRule="auto" w:line="240"/>
        <w:rPr>
          <w:b w:val="false"/>
          <w:b w:val="false"/>
          <w:color w:val="000000"/>
          <w:sz w:val="22"/>
          <w:szCs w:val="22"/>
          <w:u w:val="single"/>
        </w:rPr>
      </w:pPr>
      <w:r>
        <w:rPr>
          <w:b w:val="false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Oferent składa ofertę zgodnie z wymogami określonymi w niniejszych „Materiałach informacyjnych o przedmiocie konkursu ofert….” na formularzu udostępnionym przez Udzielającego zamówienia - Załącznik nr 1.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Oferenci ponoszą wszelkie koszty związane z przygotowaniem i złożeniem oferty.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Oferta powinna zawierać wszelkie dokumenty i załączniki wymagane w niniejszych „Materiałach informacyjnych  o przedmiocie konkursu ofert….”.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Oferta powinna być sporządzona w sposób przejrzysty i czytelny.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Ofertę oraz wszystkie załączniki należy sporządzić w języku polskim pod rygorem odrzucenia oferty,  z wyłączeniem pojęć medycznych.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Ofertę oraz oświadczenie podpisuje oferent lub osoba upoważniona na podstawie pełnomocnictwa złożonego w formie pisemnej i dołączonego do oferty.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/>
      </w:pPr>
      <w:r>
        <w:rPr>
          <w:bCs/>
        </w:rPr>
        <w:t>Ewentualne  miejsca, w których naniesione zostały poprawki, podpisuje oferent lub osoba przez niego upoważniona na podstawie pisemnego pełnomocnictwa. Poprawki mogą być dokonane jedynie poprzez przekreślenie błędnego zapisu i umieszczenie obok niego czytelnego zapisu poprawnego.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Oferent lub osoba upoważniona pełnomocnictwem określonym w punkcie 6 może wprowadzić zmiany lub wycofać złożoną ofertę, jeżeli w formie pisemnej powiadomi Udzielającego Zamówienia o wprowadzeniu zmian, lub wycofaniu oferty, nie później jednak niż przed upływem terminu składania ofert.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Powiadomienie o wprowadzeniu zmian lub wycofaniu oferty oznacza się jak ofertę z dopiskiem „Zmiana oferty” lub „wycofanie oferty”.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Ofertę z wymaganymi załącznikami należy umieścić w zamkniętej kopercie opatrzonej napisem: „Konkurs ofert  na udzielanie lekarskich świadczeń zdrowotnych w zakresie neurologii                                   w Samodzielnym Publicznym Zakładzie Opieki Zdrowotnej w Słupcy ”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dokumenty wskazane w formularzu oferty.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Dokumenty, o których mowa w pkt IV ust. 2 pkt 11 oraz ust. 3 oferent przedkłada w formie oryginału lub kserokopii. W przypadku załączenia kserokopii, w celu sprawdzenia autentyczności przedłożonych dokumentów, Udzielający Zamówienia może zażądać od oferenta przedstawienia oryginału lub notarialnie potwierdzonej kopii dokumentu, gdy kserokopia dokumentu jest nieczytelna lub budzi wątpliwości co do jej prawdziwości.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0" w:after="0"/>
        <w:ind w:start="360" w:end="0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Cs/>
          <w:u w:val="single"/>
        </w:rPr>
      </w:pPr>
      <w:r>
        <w:rPr>
          <w:bCs/>
          <w:u w:val="single"/>
        </w:rPr>
        <w:t>3. ZAŁĄCZNIKI  DO OFERTY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</w:tabs>
        <w:spacing w:lineRule="auto" w:line="240" w:before="0" w:after="0"/>
        <w:ind w:start="360" w:end="0" w:hanging="360"/>
        <w:jc w:val="both"/>
        <w:rPr>
          <w:bCs/>
        </w:rPr>
      </w:pPr>
      <w:r>
        <w:rPr>
          <w:bCs/>
        </w:rPr>
        <w:t>W celu uznania, że oferta spełnia wymagane warunki, oferent zobowiązany jest dołączyć do oferty następujące dokumenty, odpowiednio właściwe dla indywidualnej/indywidualnej specjalistycznej praktyki lekarskiej: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kopia wpisu do rejestru podmiotów wykonujących działalność leczniczą – zał. nr 1,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kopia wpisu do centralnej ewidencji i informacji o działalności gospodarczej – zał. nr 2,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 xml:space="preserve">kopie dokumentów dotyczących prawa wykonywania zawodu lekarza i/lub posiadanej specjalizacji – zał. nr 3,   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dyplomy (w tym dyplom ukończenia wyższych studiów medycznych),  certyfikaty – zał. nr 3a, 3b itd.,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kopia polisy OC  – zał. nr 4,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aktualne zaświadczenie lekarskie o zdolności do realizacji przedmiotu umowy lub oświadczenie  – zał. nr 5,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przebieg dotychczasowej pracy zawodowej  lub życiorys - zał. nr 6,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</w:tabs>
        <w:spacing w:before="0" w:after="0"/>
        <w:jc w:val="both"/>
        <w:rPr>
          <w:bCs/>
        </w:rPr>
      </w:pPr>
      <w:r>
        <w:rPr>
          <w:bCs/>
        </w:rPr>
        <w:t>zaświadczenie potwierdzające odbycie szkolenia bhp – zał. nr 7.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ind w:start="720" w:end="0" w:hanging="0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b/>
          <w:b/>
          <w:bCs/>
        </w:rPr>
      </w:pPr>
      <w:r>
        <w:rPr>
          <w:b/>
          <w:bCs/>
        </w:rPr>
        <w:t>V.  Okres związania umową.</w:t>
      </w:r>
    </w:p>
    <w:p>
      <w:pPr>
        <w:pStyle w:val="Tretekstu"/>
        <w:rPr/>
      </w:pPr>
      <w:r>
        <w:rPr>
          <w:b w:val="false"/>
          <w:sz w:val="22"/>
          <w:szCs w:val="22"/>
        </w:rPr>
        <w:t xml:space="preserve">Okres realizacji lekarskich świadczeń zdrowotnych w zakresie objętym postępowaniem konkursowym </w:t>
      </w:r>
      <w:r>
        <w:rPr>
          <w:sz w:val="22"/>
          <w:szCs w:val="22"/>
        </w:rPr>
        <w:t xml:space="preserve">od </w:t>
      </w:r>
      <w:r>
        <w:rPr>
          <w:bCs w:val="false"/>
        </w:rPr>
        <w:t xml:space="preserve"> 0</w:t>
      </w:r>
      <w:r>
        <w:rPr>
          <w:bCs w:val="false"/>
          <w:sz w:val="22"/>
          <w:szCs w:val="22"/>
        </w:rPr>
        <w:t xml:space="preserve">1.05.2023 r. do  </w:t>
      </w:r>
      <w:r>
        <w:rPr>
          <w:sz w:val="22"/>
          <w:szCs w:val="22"/>
        </w:rPr>
        <w:t>30.04.2028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bCs w:val="false"/>
          <w:sz w:val="22"/>
          <w:szCs w:val="22"/>
        </w:rPr>
        <w:t>r.</w:t>
      </w:r>
    </w:p>
    <w:p>
      <w:pPr>
        <w:pStyle w:val="Tretekstu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Przebieg konkursu.</w:t>
      </w:r>
    </w:p>
    <w:p>
      <w:pPr>
        <w:pStyle w:val="Tretekstu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1. KOMISJA KONKURSOWA</w:t>
      </w:r>
    </w:p>
    <w:p>
      <w:pPr>
        <w:pStyle w:val="Tretekstu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 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 celu przeprowadzenia konkursu ofert Udzielający Zamówienia powołuje komisję konkursową, której zasady pracy określa „Regulamin konkursu”. Komisja zostaje powołana Zarządzeniem Dyrektora Samodzielnego Publicznego Zakładu Opieki Zdrowotnej w Słupcy.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numPr>
          <w:ilvl w:val="0"/>
          <w:numId w:val="7"/>
        </w:numPr>
        <w:tabs>
          <w:tab w:val="clear" w:pos="708"/>
          <w:tab w:val="left" w:pos="284" w:leader="none"/>
        </w:tabs>
        <w:ind w:start="720" w:end="0" w:hanging="720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MIEJSCE I TERMIN OTWARCIA OFERT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360" w:leader="none"/>
        </w:tabs>
        <w:ind w:start="360" w:end="0" w:hanging="357"/>
        <w:rPr/>
      </w:pPr>
      <w:r>
        <w:rPr>
          <w:b w:val="false"/>
          <w:sz w:val="22"/>
          <w:szCs w:val="22"/>
        </w:rPr>
        <w:t xml:space="preserve">Oferty należy składać </w:t>
      </w:r>
      <w:r>
        <w:rPr>
          <w:bCs w:val="false"/>
          <w:sz w:val="22"/>
          <w:szCs w:val="22"/>
        </w:rPr>
        <w:t>w terminie do 26.04.2023r. godz. 9.00</w:t>
      </w:r>
      <w:r>
        <w:rPr>
          <w:b w:val="false"/>
          <w:bCs w:val="false"/>
          <w:sz w:val="22"/>
          <w:szCs w:val="22"/>
        </w:rPr>
        <w:t>. W przypadku wysłania oferty pocztą, wskazany termin oznacza termin wpływu oferty do Udzielającego Zamówienie.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360" w:leader="none"/>
        </w:tabs>
        <w:ind w:start="360" w:end="0" w:hanging="357"/>
        <w:rPr/>
      </w:pPr>
      <w:r>
        <w:rPr>
          <w:b w:val="false"/>
          <w:sz w:val="22"/>
          <w:szCs w:val="22"/>
        </w:rPr>
        <w:t>Otwarcie złożonych ofert nastąpi 26</w:t>
      </w:r>
      <w:r>
        <w:rPr>
          <w:sz w:val="22"/>
          <w:szCs w:val="22"/>
        </w:rPr>
        <w:t>.04.2023 r. o godz. 10</w:t>
      </w:r>
      <w:r>
        <w:rPr>
          <w:sz w:val="22"/>
          <w:szCs w:val="22"/>
          <w:vertAlign w:val="superscript"/>
        </w:rPr>
        <w:t>00</w:t>
      </w:r>
      <w:r>
        <w:rPr>
          <w:b w:val="false"/>
          <w:sz w:val="22"/>
          <w:szCs w:val="22"/>
        </w:rPr>
        <w:t xml:space="preserve"> w siedzibie Samodzielnego Publicznego Zakładu Opieki Zdrowotnej w Słupcy.  Ogłoszenie wyników nastąpi do 28.04.2023r.</w:t>
      </w:r>
    </w:p>
    <w:p>
      <w:pPr>
        <w:pStyle w:val="Tretekstu"/>
        <w:numPr>
          <w:ilvl w:val="0"/>
          <w:numId w:val="9"/>
        </w:numPr>
        <w:tabs>
          <w:tab w:val="clear" w:pos="708"/>
          <w:tab w:val="left" w:pos="360" w:leader="none"/>
        </w:tabs>
        <w:ind w:start="360" w:end="0" w:hanging="36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Konkurs składa się z części jawnej i niejawnej.</w:t>
      </w:r>
    </w:p>
    <w:p>
      <w:pPr>
        <w:pStyle w:val="Normal"/>
        <w:spacing w:before="0" w:after="0"/>
        <w:jc w:val="both"/>
        <w:rPr/>
      </w:pPr>
      <w:r>
        <w:rPr/>
        <w:t xml:space="preserve">3.    W części jawnej konkursu ofert komisja konkursowa w obecności oferentów:    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stwierdza prawidłowość ogłoszenia konkursu oraz liczbę złożonych ofert,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otwiera koperty z ofertami i ustala, które z ofert spełniają warunki konkursu,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w przypadku gdy oferent nie przedstawił wszystkich wymaganych dokumentów lub gdy oferta zawiera braki formalne, Komisja konkursowa wzywa oferenta do usunięcia tych braków w wyznaczonym terminie pod rygorem odrzucenia oferty,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przyjmuje do protokołu wyjaśnienia i oświadczenia zgłoszone przez oferentów,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/>
      </w:pPr>
      <w:r>
        <w:rPr/>
        <w:t>wzywa oferentów do złożenia pisemnych wyjaśnień.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before="0" w:after="0"/>
        <w:ind w:start="284" w:end="0" w:hanging="284"/>
        <w:jc w:val="both"/>
        <w:rPr/>
      </w:pPr>
      <w:r>
        <w:rPr/>
        <w:t>W części niejawnej konkursu ofert komisja: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/>
        <w:t xml:space="preserve">odrzuca oferty na zasadach określonych w Regulaminie Konkursu oraz w art. 149 ustawy </w:t>
        <w:br/>
        <w:t>z dnia 27 sierpnia 2004 r.  o świadczeniach opieki zdrowotnej finansowanych ze środków publicznych (Dz.U.2021.1285 t.j.),</w:t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         </w:t>
      </w:r>
      <w:r>
        <w:rPr/>
        <w:t>b)  ogłasza oferentom, które z ofert spełniają warunki konkursu, a które zostały odrzucone,</w:t>
      </w:r>
    </w:p>
    <w:p>
      <w:pPr>
        <w:pStyle w:val="Normal"/>
        <w:spacing w:before="0" w:after="0"/>
        <w:jc w:val="both"/>
        <w:rPr/>
      </w:pPr>
      <w:r>
        <w:rPr>
          <w:rFonts w:cs="Calibri"/>
        </w:rPr>
        <w:t xml:space="preserve">         </w:t>
      </w:r>
      <w:r>
        <w:rPr/>
        <w:t xml:space="preserve">c)  wybiera najkorzystniejszą ofertę albo nie przyjmuje żadnej z ofert. </w:t>
      </w:r>
    </w:p>
    <w:p>
      <w:pPr>
        <w:pStyle w:val="Tretekstu"/>
        <w:rPr/>
      </w:pPr>
      <w:r>
        <w:rPr>
          <w:b w:val="false"/>
          <w:sz w:val="22"/>
          <w:szCs w:val="22"/>
        </w:rPr>
        <w:t>5</w:t>
      </w:r>
      <w:r>
        <w:rPr>
          <w:sz w:val="22"/>
          <w:szCs w:val="22"/>
        </w:rPr>
        <w:t xml:space="preserve">.  </w:t>
      </w:r>
      <w:r>
        <w:rPr>
          <w:b w:val="false"/>
          <w:bCs w:val="false"/>
          <w:sz w:val="22"/>
          <w:szCs w:val="22"/>
        </w:rPr>
        <w:t>Komisja w części niejawnej konkursu ofert może przeprowadzić negocjacje z oferentami w celu</w:t>
        <w:br/>
        <w:t xml:space="preserve">      ustalenia liczby oferowanych świadczeń oraz ceny za udzielane świadczenia.</w:t>
      </w:r>
    </w:p>
    <w:p>
      <w:pPr>
        <w:pStyle w:val="Tretekstu"/>
        <w:rPr/>
      </w:pPr>
      <w:r>
        <w:rPr>
          <w:b w:val="false"/>
          <w:sz w:val="22"/>
          <w:szCs w:val="22"/>
        </w:rPr>
        <w:t>6.</w:t>
      </w:r>
      <w:r>
        <w:rPr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Szczegółowe zasady postępowania komisji konkursowej określa „Regulamin konkursu”</w:t>
        <w:br/>
        <w:t xml:space="preserve"> stanowiący załącznik nr 3 do materiałów informacyjnych.</w:t>
      </w:r>
    </w:p>
    <w:p>
      <w:pPr>
        <w:pStyle w:val="Tretekstu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3. KRYTERIA OCENY OFERT</w:t>
      </w:r>
    </w:p>
    <w:p>
      <w:pPr>
        <w:pStyle w:val="Tretekstu"/>
        <w:rPr/>
      </w:pPr>
      <w:r>
        <w:rPr>
          <w:b w:val="false"/>
          <w:sz w:val="22"/>
          <w:szCs w:val="22"/>
        </w:rPr>
        <w:t>1. Komisja konkursowa dokonuje wyboru najlepszej oferty lub najlepszych ofert poprzez</w:t>
        <w:br/>
        <w:t xml:space="preserve">      przydzielenie każdemu z przystępujących do konkursu punktów za:</w:t>
      </w:r>
    </w:p>
    <w:p>
      <w:pPr>
        <w:pStyle w:val="Tretekstu"/>
        <w:numPr>
          <w:ilvl w:val="0"/>
          <w:numId w:val="12"/>
        </w:numPr>
        <w:rPr/>
      </w:pPr>
      <w:r>
        <w:rPr>
          <w:b w:val="false"/>
          <w:sz w:val="22"/>
          <w:szCs w:val="22"/>
        </w:rPr>
        <w:t>cena za 1 godzinę udzielania świadczeń:  od</w:t>
      </w:r>
      <w:r>
        <w:rPr>
          <w:b w:val="false"/>
          <w:color w:val="000000"/>
          <w:sz w:val="22"/>
          <w:szCs w:val="22"/>
        </w:rPr>
        <w:t xml:space="preserve"> 0 do 60 </w:t>
      </w:r>
      <w:r>
        <w:rPr>
          <w:b w:val="false"/>
          <w:sz w:val="22"/>
          <w:szCs w:val="22"/>
        </w:rPr>
        <w:t>punktów;</w:t>
      </w:r>
    </w:p>
    <w:p>
      <w:pPr>
        <w:pStyle w:val="Tretekstu"/>
        <w:numPr>
          <w:ilvl w:val="0"/>
          <w:numId w:val="12"/>
        </w:numPr>
        <w:rPr/>
      </w:pPr>
      <w:r>
        <w:rPr>
          <w:b w:val="false"/>
          <w:sz w:val="22"/>
          <w:szCs w:val="22"/>
        </w:rPr>
        <w:t xml:space="preserve">posiadanie tytułu specjalisty w dziedzinie </w:t>
      </w:r>
      <w:r>
        <w:rPr>
          <w:rFonts w:eastAsia="Calibri" w:cs="Tahoma"/>
          <w:b w:val="false"/>
          <w:color w:val="auto"/>
          <w:kern w:val="0"/>
          <w:sz w:val="22"/>
          <w:szCs w:val="22"/>
          <w:lang w:val="pl-PL" w:eastAsia="en-US" w:bidi="ar-SA"/>
        </w:rPr>
        <w:t>neurologii</w:t>
      </w:r>
      <w:r>
        <w:rPr>
          <w:b w:val="false"/>
          <w:sz w:val="22"/>
          <w:szCs w:val="22"/>
        </w:rPr>
        <w:t xml:space="preserve"> : </w:t>
      </w:r>
      <w:r>
        <w:rPr>
          <w:rFonts w:eastAsia="Calibri"/>
          <w:b w:val="false"/>
          <w:color w:val="000000"/>
          <w:kern w:val="0"/>
          <w:sz w:val="22"/>
          <w:szCs w:val="22"/>
          <w:lang w:val="pl-PL" w:eastAsia="en-US" w:bidi="ar-SA"/>
        </w:rPr>
        <w:t>5</w:t>
      </w:r>
      <w:r>
        <w:rPr>
          <w:b w:val="false"/>
          <w:color w:val="000000"/>
          <w:sz w:val="22"/>
          <w:szCs w:val="22"/>
        </w:rPr>
        <w:t xml:space="preserve"> lub 15</w:t>
      </w:r>
      <w:r>
        <w:rPr>
          <w:b w:val="false"/>
          <w:sz w:val="22"/>
          <w:szCs w:val="22"/>
        </w:rPr>
        <w:t xml:space="preserve"> punktów</w:t>
      </w:r>
    </w:p>
    <w:p>
      <w:pPr>
        <w:pStyle w:val="Tretekstu"/>
        <w:numPr>
          <w:ilvl w:val="0"/>
          <w:numId w:val="12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kontynuację udzielania świadczeń objętych konkursem u Udzielającego Zamówienia: 0 lub 10 punktów 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2.   Punkty przydzielane są na następujących zasadach:</w:t>
      </w:r>
    </w:p>
    <w:p>
      <w:pPr>
        <w:pStyle w:val="Tretekstu"/>
        <w:numPr>
          <w:ilvl w:val="0"/>
          <w:numId w:val="13"/>
        </w:numPr>
        <w:rPr/>
      </w:pPr>
      <w:r>
        <w:rPr>
          <w:b w:val="false"/>
          <w:sz w:val="22"/>
          <w:szCs w:val="22"/>
        </w:rPr>
        <w:t>Komisja szereguje oferty wg wysokości stawki określonej w pkt 1 a powyżej, od najniższej</w:t>
        <w:br/>
        <w:t xml:space="preserve">        do najwyższej. Za najkorzystniejszą wysokość stawki  komisja przyznaje 60 punktów. Każdą</w:t>
        <w:br/>
        <w:t xml:space="preserve">       kolejną, mniej korzystną ofertę ocenia się poprzez odjęcie 10 punktów od punktów</w:t>
        <w:br/>
        <w:t xml:space="preserve">        przyznanych poprzedniej ofercie (tytułem przykładu: najkorzystniejsza: 60 punktów, oferta</w:t>
        <w:br/>
        <w:t xml:space="preserve">        uszeregowana na drugim miejscu pod kątem wysokości stawki: 50 punktów, na trzecim: 40</w:t>
        <w:br/>
        <w:t xml:space="preserve">        punktów itd.). Dopuszczalne jest przyznanie dwóm przystępującym do konkursu równej ilości</w:t>
        <w:br/>
        <w:t xml:space="preserve">       punktów, o ile zaproponowane w nich stawki za udzielanie świadczeń zdrowotnych są</w:t>
        <w:br/>
        <w:t xml:space="preserve">       równe. Na tym etapie oceny ofert Komisja wyklucza oferty, w których zaproponowano</w:t>
        <w:br/>
        <w:t xml:space="preserve">        wyższą stawkę, niż najwyższa stawka założona  przez Udzielającego Zamówienie. Oferty</w:t>
        <w:br/>
        <w:t xml:space="preserve">       odrzuconej nie ocenia się pod kątem kryteriów określonych w lit. b – c.</w:t>
      </w:r>
    </w:p>
    <w:p>
      <w:pPr>
        <w:pStyle w:val="Tretekstu"/>
        <w:numPr>
          <w:ilvl w:val="0"/>
          <w:numId w:val="13"/>
        </w:numPr>
        <w:ind w:start="709" w:end="0" w:hanging="709"/>
        <w:rPr/>
      </w:pPr>
      <w:r>
        <w:rPr>
          <w:b w:val="false"/>
          <w:sz w:val="22"/>
          <w:szCs w:val="22"/>
        </w:rPr>
        <w:t xml:space="preserve">Komisja przyznaje za posiadanie tytułu specjalisty w dziedzinie </w:t>
      </w:r>
      <w:r>
        <w:rPr>
          <w:rFonts w:eastAsia="Calibri" w:cs="Tahoma"/>
          <w:b w:val="false"/>
          <w:color w:val="auto"/>
          <w:kern w:val="0"/>
          <w:sz w:val="22"/>
          <w:szCs w:val="22"/>
          <w:lang w:val="pl-PL" w:eastAsia="en-US" w:bidi="ar-SA"/>
        </w:rPr>
        <w:t xml:space="preserve">neurologii </w:t>
      </w:r>
      <w:r>
        <w:rPr>
          <w:b w:val="false"/>
          <w:sz w:val="22"/>
          <w:szCs w:val="22"/>
        </w:rPr>
        <w:t xml:space="preserve">15 punktów. Przy braku tej specjalizacji, a w  trakcie jej </w:t>
      </w:r>
      <w:r>
        <w:rPr>
          <w:rFonts w:eastAsia="Calibri"/>
          <w:b w:val="false"/>
          <w:color w:val="auto"/>
          <w:kern w:val="0"/>
          <w:sz w:val="22"/>
          <w:szCs w:val="22"/>
          <w:lang w:val="pl-PL" w:eastAsia="en-US" w:bidi="ar-SA"/>
        </w:rPr>
        <w:t>nabywania p</w:t>
      </w:r>
      <w:r>
        <w:rPr>
          <w:b w:val="false"/>
          <w:sz w:val="22"/>
          <w:szCs w:val="22"/>
        </w:rPr>
        <w:t xml:space="preserve">rzydziela </w:t>
      </w:r>
      <w:r>
        <w:rPr>
          <w:rFonts w:eastAsia="Calibri"/>
          <w:b w:val="false"/>
          <w:color w:val="auto"/>
          <w:kern w:val="0"/>
          <w:sz w:val="22"/>
          <w:szCs w:val="22"/>
          <w:lang w:val="pl-PL" w:eastAsia="en-US" w:bidi="ar-SA"/>
        </w:rPr>
        <w:t>5</w:t>
      </w:r>
      <w:r>
        <w:rPr>
          <w:b w:val="false"/>
          <w:sz w:val="22"/>
          <w:szCs w:val="22"/>
        </w:rPr>
        <w:t xml:space="preserve"> punktów.</w:t>
      </w:r>
    </w:p>
    <w:p>
      <w:pPr>
        <w:pStyle w:val="Tretekstu"/>
        <w:numPr>
          <w:ilvl w:val="0"/>
          <w:numId w:val="13"/>
        </w:numPr>
        <w:ind w:start="709" w:end="0" w:hanging="709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Komisja przyznaje za kontynuację udzielania świadczeń objętych konkursem 10 punktów, przy braku – przydziela 0 punktów.</w:t>
      </w:r>
    </w:p>
    <w:p>
      <w:pPr>
        <w:pStyle w:val="Tretekstu"/>
        <w:rPr/>
      </w:pPr>
      <w:r>
        <w:rPr>
          <w:b w:val="false"/>
          <w:sz w:val="22"/>
          <w:szCs w:val="22"/>
        </w:rPr>
        <w:t xml:space="preserve">3.   Po przydzieleniu ocen wszystkich ofert pod kątem kryteriów wymienionych w lit a – c, komisja dokonuje zsumowania uzyskanych punktów przez </w:t>
      </w:r>
      <w:r>
        <w:rPr>
          <w:rFonts w:eastAsia="Calibri"/>
          <w:b w:val="false"/>
          <w:color w:val="auto"/>
          <w:kern w:val="0"/>
          <w:sz w:val="22"/>
          <w:szCs w:val="22"/>
          <w:lang w:val="pl-PL" w:eastAsia="en-US" w:bidi="ar-SA"/>
        </w:rPr>
        <w:t>przystępujących</w:t>
      </w:r>
      <w:r>
        <w:rPr>
          <w:b w:val="false"/>
          <w:sz w:val="22"/>
          <w:szCs w:val="22"/>
        </w:rPr>
        <w:t xml:space="preserve"> do konkursu, a następnie</w:t>
        <w:br/>
        <w:t>szereguje oferty ogólną ilością uzyskanych punktów, począwszy od najlepiej ocenionej. Oferty</w:t>
        <w:br/>
        <w:t>odrzucone nie podlegają uszeregowaniu. Komisja wyłania zwycięzców konkursu poprzez</w:t>
        <w:br/>
        <w:t>wybranie takiej liczby najkorzystniejszych ofert, by zapewnić udzielanie lekarskich świadczeń</w:t>
        <w:br/>
        <w:t xml:space="preserve">zdrowotnych w ilości godzin poddanych konkursowi. </w:t>
      </w:r>
      <w:r>
        <w:rPr>
          <w:b w:val="false"/>
          <w:bCs w:val="false"/>
          <w:sz w:val="22"/>
          <w:szCs w:val="22"/>
        </w:rPr>
        <w:t>Komisja może dokonać rozstrzygnięcia</w:t>
        <w:br/>
        <w:t>konkursu w zakresie mniejszej ilości godzin niż zostały poddane konkursowi jeżeli złożone oferty</w:t>
        <w:br/>
        <w:t>nie pozwalają na rozstrzygnięcie konkursu w pełnym zakresie godzin w oparciu o kwotę</w:t>
        <w:br/>
        <w:t>przeznaczoną na realizację zamówienia.</w:t>
      </w:r>
    </w:p>
    <w:p>
      <w:pPr>
        <w:pStyle w:val="Tretekstu"/>
        <w:rPr/>
      </w:pPr>
      <w:r>
        <w:rPr>
          <w:b w:val="false"/>
          <w:sz w:val="22"/>
          <w:szCs w:val="22"/>
        </w:rPr>
        <w:t>W przypadku, gdy dwóch kandydatów uzyskało równą ogólną liczbę punktów, decydującym</w:t>
        <w:br/>
        <w:t xml:space="preserve">kryterium jest proponowana wysokość stawki godzinowej (lit.a). Gdy i  ta ocena jest równa, komisja ocenia  posiadaną specjalizację w zakresie </w:t>
      </w:r>
      <w:r>
        <w:rPr>
          <w:rFonts w:eastAsia="Calibri" w:cs="Tahoma"/>
          <w:b w:val="false"/>
          <w:color w:val="auto"/>
          <w:kern w:val="0"/>
          <w:sz w:val="22"/>
          <w:szCs w:val="22"/>
          <w:lang w:val="pl-PL" w:eastAsia="en-US" w:bidi="ar-SA"/>
        </w:rPr>
        <w:t>neurologii</w:t>
      </w:r>
      <w:r>
        <w:rPr>
          <w:b w:val="false"/>
          <w:sz w:val="22"/>
          <w:szCs w:val="22"/>
        </w:rPr>
        <w:t xml:space="preserve">  (lit.b) oraz kontynuację świadczenie usług (lit.</w:t>
      </w:r>
      <w:r>
        <w:rPr>
          <w:rFonts w:eastAsia="Calibri"/>
          <w:b w:val="false"/>
          <w:color w:val="auto"/>
          <w:kern w:val="0"/>
          <w:sz w:val="22"/>
          <w:szCs w:val="22"/>
          <w:lang w:val="pl-PL" w:eastAsia="en-US" w:bidi="ar-SA"/>
        </w:rPr>
        <w:t>c</w:t>
      </w:r>
      <w:r>
        <w:rPr>
          <w:b w:val="false"/>
          <w:sz w:val="22"/>
          <w:szCs w:val="22"/>
        </w:rPr>
        <w:t>).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Gdy nadal  oceny  są równe, komisja przeprowadza głosowanie, w którym większością głosów osób</w:t>
        <w:br/>
        <w:t>obecnych dokonuje wyboru oferty. Wyniki głosowania zamieszcza w protokole.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rPr/>
      </w:pPr>
      <w:r>
        <w:rPr>
          <w:b w:val="false"/>
          <w:sz w:val="22"/>
          <w:szCs w:val="22"/>
        </w:rPr>
        <w:t xml:space="preserve">4.   </w:t>
      </w:r>
      <w:r>
        <w:rPr>
          <w:b w:val="false"/>
          <w:bCs w:val="false"/>
          <w:sz w:val="22"/>
          <w:szCs w:val="22"/>
        </w:rPr>
        <w:t>Negocjacje prowadzone są w zakresie godzin poddanych konkursowi, na które nie można udzielić zamówienia w oparciu o oferty złożone w terminie składania ofert. Oferowane w wyniku negocjacji ilości godzin oraz ceny za udzielanie świadczeń oceniane są według powyższych kryteriów.</w:t>
      </w:r>
    </w:p>
    <w:p>
      <w:pPr>
        <w:pStyle w:val="Tretekstu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Tretekstu"/>
        <w:rPr>
          <w:b w:val="false"/>
          <w:b w:val="false"/>
          <w:sz w:val="22"/>
          <w:szCs w:val="22"/>
          <w:u w:val="single"/>
        </w:rPr>
      </w:pPr>
      <w:r>
        <w:rPr>
          <w:b w:val="false"/>
          <w:sz w:val="22"/>
          <w:szCs w:val="22"/>
          <w:u w:val="single"/>
        </w:rPr>
        <w:t>4. ROZSTRZYGNIĘCIE KONKURSU, WARUNKI ZAWARCIA UMÓW</w:t>
      </w:r>
    </w:p>
    <w:p>
      <w:pPr>
        <w:pStyle w:val="Tretekstu"/>
        <w:numPr>
          <w:ilvl w:val="0"/>
          <w:numId w:val="14"/>
        </w:numPr>
        <w:tabs>
          <w:tab w:val="clear" w:pos="708"/>
          <w:tab w:val="left" w:pos="360" w:leader="none"/>
        </w:tabs>
        <w:ind w:start="360" w:end="0" w:hanging="36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Rozstrzygnięcie konkursu ofert ogłasza się w miejscu i terminie określonym w ogłoszeniu                         o konkursie ofert, podając nazwę oferenta oraz numer oferty, którą wybrano (tablica ogłoszeń                     i strona internetowa).</w:t>
      </w:r>
    </w:p>
    <w:p>
      <w:pPr>
        <w:pStyle w:val="Tretekstu"/>
        <w:numPr>
          <w:ilvl w:val="0"/>
          <w:numId w:val="14"/>
        </w:numPr>
        <w:tabs>
          <w:tab w:val="clear" w:pos="708"/>
          <w:tab w:val="left" w:pos="360" w:leader="none"/>
        </w:tabs>
        <w:ind w:start="360" w:end="0" w:hanging="36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Oferentowi wybranemu w wyniku postępowania konkursowego Udzielający Zamówienie wskazuje termin i miejsce zawarcia i podpisania umowy, wg wzoru stanowiącego Załącznik nr 2  do „Materiałów informacyjnych o przedmiocie konkursu…”.</w:t>
      </w:r>
    </w:p>
    <w:p>
      <w:pPr>
        <w:pStyle w:val="Tretekstu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Postanowienia końcowe.</w:t>
      </w:r>
    </w:p>
    <w:p>
      <w:pPr>
        <w:pStyle w:val="Tretekstu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Wszelkich informacji dotyczących warunków zamówienia udziela Dział Spraw Pracowniczych                            i Socjalnych , tel. 63 275 23 00 wew. 362.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Dokumenty dotyczące postępowania konkursowego (oferty, protokoły) przechowywane będą                       w siedzibie Udzielającego Zamówienia.</w:t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retekstu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Załączniki:</w:t>
      </w:r>
    </w:p>
    <w:p>
      <w:pPr>
        <w:pStyle w:val="Tretekstu"/>
        <w:numPr>
          <w:ilvl w:val="0"/>
          <w:numId w:val="15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Załącznik nr 1 - Formularz ofertowy.</w:t>
      </w:r>
    </w:p>
    <w:p>
      <w:pPr>
        <w:pStyle w:val="Tretekstu"/>
        <w:numPr>
          <w:ilvl w:val="0"/>
          <w:numId w:val="15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Załącznik nr 2 - Projekt umowy.</w:t>
      </w:r>
    </w:p>
    <w:p>
      <w:pPr>
        <w:pStyle w:val="Tretekstu"/>
        <w:numPr>
          <w:ilvl w:val="0"/>
          <w:numId w:val="15"/>
        </w:numPr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Załącznik nr 3 – Regulamin konkursu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gutter="0" w:header="0" w:top="426" w:footer="0" w:bottom="55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  <w:font w:name="Wingdings">
    <w:charset w:val="ee" w:characterSet="windows-1250"/>
    <w:family w:val="roman"/>
    <w:pitch w:val="variable"/>
  </w:font>
  <w:font w:name="Symbo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Cs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 w:val="false"/>
        <w:bCs/>
        <w:rFonts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Cs/>
        <w:rFonts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6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Cs/>
        <w:rFonts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7">
    <w:lvl w:ilvl="0">
      <w:start w:val="1"/>
      <w:numFmt w:val="decimal"/>
      <w:lvlText w:val="%1."/>
      <w:lvlJc w:val="start"/>
      <w:pPr>
        <w:tabs>
          <w:tab w:val="num" w:pos="708"/>
        </w:tabs>
        <w:ind w:start="720" w:hanging="360"/>
      </w:pPr>
      <w:rPr>
        <w:sz w:val="22"/>
        <w:b w:val="false"/>
        <w:szCs w:val="22"/>
        <w:bCs/>
        <w:rFonts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8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bCs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9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b w:val="false"/>
        <w:szCs w:val="22"/>
        <w:bCs w:val="false"/>
        <w:rFonts w:cs="Times New Roman"/>
        <w:color w:val="000000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0">
    <w:lvl w:ilvl="0">
      <w:start w:val="1"/>
      <w:numFmt w:val="lowerLetter"/>
      <w:lvlText w:val="%1)"/>
      <w:lvlJc w:val="start"/>
      <w:pPr>
        <w:tabs>
          <w:tab w:val="num" w:pos="720"/>
        </w:tabs>
        <w:ind w:start="720" w:hanging="360"/>
      </w:pPr>
      <w:rPr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1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2">
    <w:lvl w:ilvl="0">
      <w:start w:val="1"/>
      <w:numFmt w:val="lowerLetter"/>
      <w:lvlText w:val="%1)"/>
      <w:lvlJc w:val="start"/>
      <w:pPr>
        <w:tabs>
          <w:tab w:val="num" w:pos="0"/>
        </w:tabs>
        <w:ind w:start="720" w:hanging="360"/>
      </w:pPr>
      <w:rPr>
        <w:sz w:val="22"/>
        <w:b w:val="false"/>
        <w:szCs w:val="22"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3">
    <w:lvl w:ilvl="0">
      <w:start w:val="1"/>
      <w:numFmt w:val="lowerLetter"/>
      <w:lvlText w:val="ad. %1)"/>
      <w:lvlJc w:val="start"/>
      <w:pPr>
        <w:tabs>
          <w:tab w:val="num" w:pos="0"/>
        </w:tabs>
        <w:ind w:start="360" w:hanging="360"/>
      </w:pPr>
      <w:rPr>
        <w:sz w:val="22"/>
        <w:b w:val="false"/>
        <w:szCs w:val="22"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b w:val="false"/>
        <w:szCs w:val="22"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5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2"/>
        <w:b w:val="false"/>
        <w:szCs w:val="22"/>
        <w:rFonts w:cs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star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pl-PL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WW8Num13z0">
    <w:name w:val="WW8Num13z0"/>
    <w:qFormat/>
    <w:rPr>
      <w:rFonts w:cs="Times New Roman"/>
      <w:bCs/>
    </w:rPr>
  </w:style>
  <w:style w:type="character" w:styleId="WW8Num17z0">
    <w:name w:val="WW8Num17z0"/>
    <w:qFormat/>
    <w:rPr>
      <w:bCs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cs="Times New Roman"/>
      <w:b w:val="false"/>
      <w:bCs/>
      <w:color w:val="000000"/>
    </w:rPr>
  </w:style>
  <w:style w:type="character" w:styleId="WW8Num18z1">
    <w:name w:val="WW8Num18z1"/>
    <w:qFormat/>
    <w:rPr>
      <w:rFonts w:cs="Times New Roman"/>
    </w:rPr>
  </w:style>
  <w:style w:type="character" w:styleId="WW8Num4z0">
    <w:name w:val="WW8Num4z0"/>
    <w:qFormat/>
    <w:rPr>
      <w:rFonts w:cs="Times New Roman"/>
      <w:bCs/>
      <w:color w:val="000000"/>
    </w:rPr>
  </w:style>
  <w:style w:type="character" w:styleId="WW8Num4z1">
    <w:name w:val="WW8Num4z1"/>
    <w:qFormat/>
    <w:rPr>
      <w:rFonts w:cs="Times New Roman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WW8Num3z0">
    <w:name w:val="WW8Num3z0"/>
    <w:qFormat/>
    <w:rPr>
      <w:rFonts w:cs="Times New Roman"/>
      <w:bCs/>
      <w:color w:val="000000"/>
    </w:rPr>
  </w:style>
  <w:style w:type="character" w:styleId="WW8Num3z1">
    <w:name w:val="WW8Num3z1"/>
    <w:qFormat/>
    <w:rPr>
      <w:rFonts w:cs="Times New Roman"/>
    </w:rPr>
  </w:style>
  <w:style w:type="character" w:styleId="WW8Num14z0">
    <w:name w:val="WW8Num14z0"/>
    <w:qFormat/>
    <w:rPr>
      <w:rFonts w:cs="Times New Roman"/>
      <w:b w:val="false"/>
      <w:bCs/>
      <w:color w:val="000000"/>
      <w:sz w:val="22"/>
      <w:szCs w:val="22"/>
    </w:rPr>
  </w:style>
  <w:style w:type="character" w:styleId="WW8Num14z1">
    <w:name w:val="WW8Num14z1"/>
    <w:qFormat/>
    <w:rPr>
      <w:rFonts w:cs="Times New Roman"/>
    </w:rPr>
  </w:style>
  <w:style w:type="character" w:styleId="WW8Num12z0">
    <w:name w:val="WW8Num12z0"/>
    <w:qFormat/>
    <w:rPr>
      <w:rFonts w:cs="Times New Roman"/>
      <w:bCs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0z0">
    <w:name w:val="WW8Num10z0"/>
    <w:qFormat/>
    <w:rPr>
      <w:rFonts w:cs="Times New Roman"/>
      <w:b w:val="false"/>
      <w:bCs w:val="false"/>
      <w:color w:val="000000"/>
      <w:sz w:val="22"/>
      <w:szCs w:val="22"/>
    </w:rPr>
  </w:style>
  <w:style w:type="character" w:styleId="WW8Num10z1">
    <w:name w:val="WW8Num10z1"/>
    <w:qFormat/>
    <w:rPr>
      <w:rFonts w:ascii="Symbol" w:hAnsi="Symbol" w:cs="Symbol"/>
      <w:color w:val="000000"/>
    </w:rPr>
  </w:style>
  <w:style w:type="character" w:styleId="WW8Num10z2">
    <w:name w:val="WW8Num10z2"/>
    <w:qFormat/>
    <w:rPr>
      <w:rFonts w:cs="Times New Roman"/>
    </w:rPr>
  </w:style>
  <w:style w:type="character" w:styleId="WW8Num11z0">
    <w:name w:val="WW8Num11z0"/>
    <w:qFormat/>
    <w:rPr>
      <w:rFonts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5z0">
    <w:name w:val="WW8Num5z0"/>
    <w:qFormat/>
    <w:rPr>
      <w:rFonts w:cs="Times New Roman"/>
      <w:b w:val="false"/>
      <w:sz w:val="22"/>
      <w:szCs w:val="22"/>
    </w:rPr>
  </w:style>
  <w:style w:type="character" w:styleId="WW8Num1z0">
    <w:name w:val="WW8Num1z0"/>
    <w:qFormat/>
    <w:rPr>
      <w:rFonts w:cs="Times New Roman"/>
      <w:b w:val="false"/>
      <w:sz w:val="22"/>
      <w:szCs w:val="22"/>
    </w:rPr>
  </w:style>
  <w:style w:type="character" w:styleId="WW8Num1z1">
    <w:name w:val="WW8Num1z1"/>
    <w:qFormat/>
    <w:rPr>
      <w:rFonts w:cs="Times New Roman"/>
    </w:rPr>
  </w:style>
  <w:style w:type="character" w:styleId="WW8Num9z0">
    <w:name w:val="WW8Num9z0"/>
    <w:qFormat/>
    <w:rPr>
      <w:rFonts w:cs="Times New Roman"/>
      <w:b w:val="false"/>
      <w:sz w:val="22"/>
      <w:szCs w:val="22"/>
    </w:rPr>
  </w:style>
  <w:style w:type="character" w:styleId="WW8Num9z1">
    <w:name w:val="WW8Num9z1"/>
    <w:qFormat/>
    <w:rPr>
      <w:rFonts w:cs="Times New Roman"/>
    </w:rPr>
  </w:style>
  <w:style w:type="character" w:styleId="WW8Num8z0">
    <w:name w:val="WW8Num8z0"/>
    <w:qFormat/>
    <w:rPr>
      <w:rFonts w:cs="Times New Roman"/>
      <w:b w:val="false"/>
      <w:sz w:val="22"/>
      <w:szCs w:val="22"/>
    </w:rPr>
  </w:style>
  <w:style w:type="character" w:styleId="WW8Num8z1">
    <w:name w:val="WW8Num8z1"/>
    <w:qFormat/>
    <w:rPr>
      <w:rFonts w:cs="Times New Roma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Podtytu">
    <w:name w:val="Subtitle"/>
    <w:basedOn w:val="Normal"/>
    <w:next w:val="Tretekstu"/>
    <w:qFormat/>
    <w:pPr>
      <w:spacing w:lineRule="auto" w:line="360" w:before="0" w:after="0"/>
      <w:jc w:val="both"/>
    </w:pPr>
    <w:rPr>
      <w:rFonts w:eastAsia="MS Mincho;ＭＳ 明朝"/>
      <w:b/>
      <w:bCs/>
      <w:sz w:val="24"/>
      <w:szCs w:val="24"/>
    </w:rPr>
  </w:style>
  <w:style w:type="numbering" w:styleId="WW8Num13">
    <w:name w:val="WW8Num13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4">
    <w:name w:val="WW8Num4"/>
    <w:qFormat/>
  </w:style>
  <w:style w:type="numbering" w:styleId="WW8Num3">
    <w:name w:val="WW8Num3"/>
    <w:qFormat/>
  </w:style>
  <w:style w:type="numbering" w:styleId="WW8Num14">
    <w:name w:val="WW8Num14"/>
    <w:qFormat/>
  </w:style>
  <w:style w:type="numbering" w:styleId="WW8Num12">
    <w:name w:val="WW8Num12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6">
    <w:name w:val="WW8Num6"/>
    <w:qFormat/>
  </w:style>
  <w:style w:type="numbering" w:styleId="WW8Num5">
    <w:name w:val="WW8Num5"/>
    <w:qFormat/>
  </w:style>
  <w:style w:type="numbering" w:styleId="WW8Num1">
    <w:name w:val="WW8Num1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p.legalis.pl.000082l00ac8.han3.ue.poznan.pl/document-view.seam?documentId=mfrxilrvgaytgmzsg42a" TargetMode="External"/><Relationship Id="rId3" Type="http://schemas.openxmlformats.org/officeDocument/2006/relationships/hyperlink" Target="http://sip.legalis.pl.000082l00ac8.han3.ue.poznan.pl/document-view.seam?documentId=mfrxilrsheydonjzgmydq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Listownik Dział Spraw Pracowniczych i Socjalnych.dotx</Template>
  <TotalTime>60</TotalTime>
  <Application>LibreOffice/7.2.0.4$Windows_X86_64 LibreOffice_project/9a9c6381e3f7a62afc1329bd359cc48accb6435b</Application>
  <AppVersion>15.0000</AppVersion>
  <Pages>5</Pages>
  <Words>1888</Words>
  <Characters>12245</Characters>
  <CharactersWithSpaces>14631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2022-03-14T09:24:09Z</dcterms:created>
  <dc:creator/>
  <dc:description/>
  <dc:language>pl-PL</dc:language>
  <cp:lastModifiedBy/>
  <cp:lastPrinted>2022-03-14T09:26:09Z</cp:lastPrinted>
  <dcterms:modified xsi:type="dcterms:W3CDTF">2023-04-20T13:00:57Z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