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Załącznik nr 3</w:t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OPIS PRZEDMIOTU ZAMÓWIENIA</w:t>
      </w:r>
    </w:p>
    <w:p>
      <w:pPr>
        <w:pStyle w:val="Normal"/>
        <w:jc w:val="center"/>
        <w:rPr/>
      </w:pPr>
      <w:r>
        <w:rPr/>
      </w:r>
    </w:p>
    <w:tbl>
      <w:tblPr>
        <w:tblStyle w:val="Tabela-Siatka"/>
        <w:tblW w:w="10206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8"/>
        <w:gridCol w:w="3926"/>
        <w:gridCol w:w="1515"/>
        <w:gridCol w:w="1617"/>
        <w:gridCol w:w="2570"/>
      </w:tblGrid>
      <w:tr>
        <w:trPr/>
        <w:tc>
          <w:tcPr>
            <w:tcW w:w="57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Parametry techniczne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Warunki graniczne</w:t>
            </w:r>
          </w:p>
        </w:tc>
        <w:tc>
          <w:tcPr>
            <w:tcW w:w="15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Parametr wymagany (graniczny)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Punktacja zamawiającego</w:t>
            </w:r>
          </w:p>
        </w:tc>
        <w:tc>
          <w:tcPr>
            <w:tcW w:w="2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Parametry oferowane (wypełnia Wykonawca)</w:t>
            </w:r>
          </w:p>
        </w:tc>
      </w:tr>
      <w:tr>
        <w:trPr/>
        <w:tc>
          <w:tcPr>
            <w:tcW w:w="57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 xml:space="preserve">Podać model, typ urządzenia, producenta. 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  <w:shd w:fill="FFFFFF" w:val="clear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  <w:highlight w:val="white"/>
              </w:rPr>
            </w:pPr>
            <w:r>
              <w:rPr>
                <w:bCs/>
                <w:sz w:val="20"/>
                <w:szCs w:val="20"/>
                <w:highlight w:val="white"/>
              </w:rPr>
            </w:r>
          </w:p>
        </w:tc>
        <w:tc>
          <w:tcPr>
            <w:tcW w:w="2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  <w:highlight w:val="white"/>
              </w:rPr>
            </w:pPr>
            <w:r>
              <w:rPr>
                <w:bCs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57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Załączyć do oferty folder lub inny dokument  potwierdzający podkreślone parametry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  <w:shd w:fill="FFFFFF" w:val="clear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  <w:highlight w:val="white"/>
              </w:rPr>
            </w:pPr>
            <w:r>
              <w:rPr>
                <w:bCs/>
                <w:sz w:val="20"/>
                <w:szCs w:val="20"/>
                <w:highlight w:val="white"/>
              </w:rPr>
            </w:r>
          </w:p>
        </w:tc>
        <w:tc>
          <w:tcPr>
            <w:tcW w:w="2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  <w:highlight w:val="white"/>
              </w:rPr>
            </w:pPr>
            <w:r>
              <w:rPr>
                <w:bCs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57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Cs/>
                <w:sz w:val="20"/>
                <w:szCs w:val="20"/>
              </w:rPr>
              <w:t>Rok produkcji 2022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7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Cyfrowa regulacja ≥ 8 stopniowego TGC dostępna na dotykowym panelu, z funkcją zapamiętywania kilku preferowanych ustawień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7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Możliwość konfigurowania min. 4 presetów (głowica i kategoria badania) dostępnych z panelu operatora zlokalizowanego na ekranie dotykowym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7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 xml:space="preserve">Monitor LCD min 21 cali, o rozdzielczości min.1920x1080 pikseli 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7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Batang"/>
                <w:sz w:val="20"/>
                <w:szCs w:val="20"/>
              </w:rPr>
              <w:t>Możliwość powiększenia obrazu min.</w:t>
            </w:r>
            <w:r>
              <w:rPr>
                <w:sz w:val="20"/>
                <w:szCs w:val="20"/>
              </w:rPr>
              <w:t xml:space="preserve"> 2</w:t>
            </w:r>
            <w:r>
              <w:rPr>
                <w:rFonts w:eastAsia="Batang"/>
                <w:sz w:val="20"/>
                <w:szCs w:val="20"/>
              </w:rPr>
              <w:t>0x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7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Ilość aktywnych, równoważnych bezpinowych gniazd do podłączenia głowic obrazowych min. 3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7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Głębokość obrazowania min. 2-38 cm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7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bookmarkStart w:id="0" w:name="_Hlk60734944"/>
            <w:r>
              <w:rPr>
                <w:sz w:val="20"/>
                <w:szCs w:val="20"/>
              </w:rPr>
              <w:t>Zakres częstotliwości pracy aparatu min. 2-16 MHz</w:t>
            </w:r>
            <w:bookmarkEnd w:id="0"/>
            <w:r>
              <w:rPr>
                <w:sz w:val="20"/>
                <w:szCs w:val="20"/>
              </w:rPr>
              <w:t xml:space="preserve"> wyrażony głowicami możliwymi do podłączenia w dniu składania oferty 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7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Aparat wyposażony w panel dotykowy min. 10”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7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sz w:val="20"/>
                <w:szCs w:val="20"/>
              </w:rPr>
              <w:t>Możliwość rozbudowy o fabrycznie wbudowane zasilanie bateryjne o pojemności min 6900 mAh umożliwiające nieprzerwaną pracę po zaniku zasilania sieciowego przez min 40 min</w:t>
            </w:r>
          </w:p>
        </w:tc>
        <w:tc>
          <w:tcPr>
            <w:tcW w:w="15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- 0 pkt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Możliwość rozbudowy –      10 pkt</w:t>
            </w:r>
          </w:p>
        </w:tc>
        <w:tc>
          <w:tcPr>
            <w:tcW w:w="2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7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Wewnętrzny dysk twardy SSD o pojemności min. 500GB z mozliwością rozbudowy o kolejny dysk SSD min 500 GB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7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Doppler pulsacyjny – szerokość bramki przepływu min. 0,5 do 25 mm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7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sz w:val="20"/>
                <w:szCs w:val="20"/>
              </w:rPr>
              <w:t>Praca w trybie wielokierunkowego emitowania i składania wiązki ultradźwiękowej z głowic w pełni elektronicznych, z min. 7 kątami emitowania wiązki tworzącymi obraz 2D na wszystkich zaoferowanych głowicach np. SonoCT, SieClear, CrossBeam, iBeam lub równoważny Wymóg pracy dla trybu 2D oraz w trybie obrazowania harmonicznego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7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Obrazowanie  elastograficzne w formacie pojedynczego ekranu oraz na obrazie podzielonym na dwa pola ze wskaźnikiem ucisku oraz określeniem za pomocą map kolorów wielkości i lokalizacji zmiany -  dostępna na głowicy liniowej i endokawitarnej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7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Pamięć cine min. 40.000 obrazów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Min. 40 000 –        0 pkt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Powyżej 44 000 – 10 pkt</w:t>
            </w:r>
          </w:p>
        </w:tc>
        <w:tc>
          <w:tcPr>
            <w:tcW w:w="2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7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Funkcja automatycznego pomiaru Intima  Media  z wybranej przez  użytkownika klatki pamięci CINE oraz ze wskazaniem skuteczności wykonanego pomiaru wyrażonym w procentach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7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19.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DICOM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7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Obrazowanie panoramiczne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7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21.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Obrazowanie poprawiające wizualizację igły biopsyjnej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7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22.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sz w:val="20"/>
                <w:szCs w:val="20"/>
              </w:rPr>
              <w:t>Dedykowana funkcja oprogramowania do badania piersi w trybie B-Mode, umożliwiającą analizę morfologiczną z automatycznym oraz półautomatycznym obrysem ewentualnych zmian nowotworowych, możliwością klasyfikacji nowotworowej z skalą BI-RADS (piersi), oraz szereg funkcjonalności m.in. do kilku proponowanych obrysów zmiany nowotworowej, uwidocznionych na panelu dotykowym oraz dedykowany raport z badania piersi - dostępne 2 metody klasyfikacji piersi BI-RADS 2003/ BI-RADS 2013.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7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23.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Batang"/>
                <w:sz w:val="20"/>
                <w:szCs w:val="20"/>
              </w:rPr>
              <w:t>CW Doppler, TDI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7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Batang"/>
                <w:sz w:val="20"/>
                <w:szCs w:val="20"/>
              </w:rPr>
              <w:t>Możliwość zmiany wysokości panelu sterowania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7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25.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Narrow"/>
                <w:sz w:val="20"/>
                <w:szCs w:val="20"/>
              </w:rPr>
              <w:t xml:space="preserve">Aparat wyposażony w min. 3 porty USB z czego min 2 na konsoli aparatu 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7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26.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Liczba ognisk min. 4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7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27.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Batang"/>
                <w:sz w:val="20"/>
                <w:szCs w:val="20"/>
              </w:rPr>
              <w:t>Frame Rate min 2.000 Hz dla trybu 2D, min 400 Hz dla trybu color doppler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7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28.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Narrow"/>
                <w:sz w:val="20"/>
                <w:szCs w:val="20"/>
              </w:rPr>
              <w:t>Raporty dla każdego rodzaju obrazowania z możliwością własnych opisów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7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29.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Narrow"/>
                <w:color w:val="000000"/>
                <w:sz w:val="20"/>
                <w:szCs w:val="20"/>
              </w:rPr>
              <w:t>Funkcja automatycznego ustawiania bramki dopplera w naczyniu, z uwzględnieniem kąta korekcji.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7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Badanie małych narządów 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7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31.</w:t>
            </w:r>
          </w:p>
        </w:tc>
        <w:tc>
          <w:tcPr>
            <w:tcW w:w="3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Pomiary podstawowe na obrazie: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pomiar odległości,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obwodu,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pola powierzchni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objętości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32.</w:t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 do badań min.: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brzusznych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ginekologicznych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położniczych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wczesne położnictwo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nerki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urologicznych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naczyniowych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małych narządów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mięśnioszkieletowych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piersi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pediatrycznych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transkranialnych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kardiologiczne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płucnych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33.</w:t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Głowica </w:t>
            </w:r>
            <w:r>
              <w:rPr>
                <w:b/>
                <w:bCs/>
                <w:sz w:val="20"/>
                <w:szCs w:val="20"/>
              </w:rPr>
              <w:t xml:space="preserve">microconvex </w:t>
            </w:r>
            <w:r>
              <w:rPr>
                <w:sz w:val="20"/>
                <w:szCs w:val="20"/>
              </w:rPr>
              <w:t>do badań brzusznych: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-Zakres częstotliwości pracy min. 4-9 MHz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-Ilość elementów: min. 128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-Kąt skanowania:  min. 92 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-promień krzywizny max 14mm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34.</w:t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pBdr>
                <w:right w:val="single" w:sz="4" w:space="1" w:color="000000"/>
              </w:pBdr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Głowica </w:t>
            </w:r>
            <w:r>
              <w:rPr>
                <w:rFonts w:cs="Calibri"/>
                <w:b/>
                <w:bCs/>
                <w:sz w:val="20"/>
                <w:szCs w:val="20"/>
              </w:rPr>
              <w:t>liniowa</w:t>
            </w:r>
            <w:r>
              <w:rPr>
                <w:rFonts w:cs="Calibri"/>
                <w:sz w:val="20"/>
                <w:szCs w:val="20"/>
              </w:rPr>
              <w:t xml:space="preserve"> szerokopasmowa do badań naczyniowych, mięśniowo-szkieletowych          i drobnych narządów:</w:t>
            </w:r>
          </w:p>
          <w:p>
            <w:pPr>
              <w:pStyle w:val="Normal"/>
              <w:pBdr>
                <w:right w:val="single" w:sz="4" w:space="1" w:color="000000"/>
              </w:pBdr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-Zakres częstotliwości pracy 1-17 MHz +/- 1MHz</w:t>
            </w:r>
          </w:p>
          <w:p>
            <w:pPr>
              <w:pStyle w:val="Normal"/>
              <w:pBdr>
                <w:right w:val="single" w:sz="4" w:space="1" w:color="000000"/>
              </w:pBdr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-Ilość elementów: min. 160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sz w:val="20"/>
                <w:szCs w:val="20"/>
              </w:rPr>
              <w:t>-szerokość  skanowania:  min. 38mm, max 40 mm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Min. 160 el. –       0 pkt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Powyżej 192 i więcej – 10 pkt</w:t>
            </w:r>
          </w:p>
        </w:tc>
        <w:tc>
          <w:tcPr>
            <w:tcW w:w="2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35.</w:t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pBdr>
                <w:right w:val="single" w:sz="4" w:space="1" w:color="000000"/>
              </w:pBdr>
              <w:spacing w:lineRule="atLeast" w:line="10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Głowica </w:t>
            </w:r>
            <w:r>
              <w:rPr>
                <w:b/>
                <w:bCs/>
                <w:sz w:val="20"/>
                <w:szCs w:val="20"/>
              </w:rPr>
              <w:t>sektorowa</w:t>
            </w:r>
            <w:r>
              <w:rPr>
                <w:sz w:val="20"/>
                <w:szCs w:val="20"/>
              </w:rPr>
              <w:t xml:space="preserve"> pediatryczna:</w:t>
            </w:r>
          </w:p>
          <w:p>
            <w:pPr>
              <w:pStyle w:val="Normal"/>
              <w:pBdr>
                <w:right w:val="single" w:sz="4" w:space="1" w:color="000000"/>
              </w:pBdr>
              <w:spacing w:lineRule="atLeast" w:line="10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-Zakres częstotliwości pracy min. 3-8 MHz </w:t>
            </w:r>
          </w:p>
          <w:p>
            <w:pPr>
              <w:pStyle w:val="Normal"/>
              <w:pBdr>
                <w:right w:val="single" w:sz="4" w:space="1" w:color="000000"/>
              </w:pBdr>
              <w:spacing w:lineRule="atLeast" w:line="10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-Ilość elementów: min. 64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20"/>
                <w:szCs w:val="20"/>
              </w:rPr>
              <w:t>-pole widzenia: min. 90°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36.</w:t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  <w:sz w:val="20"/>
                <w:szCs w:val="20"/>
              </w:rPr>
              <w:t xml:space="preserve">Gwarancja na wszystkie dostarczone urządzenia na okres min. 24 miesiące    </w:t>
            </w:r>
            <w:bookmarkStart w:id="1" w:name="_GoBack"/>
            <w:bookmarkEnd w:id="1"/>
            <w:r>
              <w:rPr>
                <w:color w:val="000000"/>
                <w:sz w:val="20"/>
                <w:szCs w:val="20"/>
              </w:rPr>
              <w:t>(liczone od dnia dokonania odbioru przedmiotu zamówienia)</w:t>
            </w:r>
            <w:r>
              <w:rPr>
                <w:bCs/>
                <w:color w:val="000000"/>
                <w:sz w:val="20"/>
                <w:szCs w:val="20"/>
              </w:rPr>
              <w:t>. Gwarancja obejmuje wszystkie podzespoły, włącznie z akumulatorami.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5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37.</w:t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Cs/>
                <w:color w:val="000000"/>
                <w:sz w:val="20"/>
                <w:szCs w:val="20"/>
              </w:rPr>
              <w:t>W czasie trwania gwarancji, wszystkie wymagane przez producenta przeglądy oraz naprawy potwierdzone wpisem do paszportu wykonywane bezpłatnie na koszt Wykonawcy włącznie z dojazdem w siedzibie Zamawiającego. Jeżeli zajdzie konieczność naprawy w siedzibie Wykonawcy wszystkie koszty wraz z transportem w obie strony ponosi Wykonawca. Wykonawca wykona wymagane przeglądy z własnej inicjatywy, brak przeglądu nie może spowodować utraty gwarancji. Ostatni przegląd zostanie wykonany w ostatnim miesiącu obowiązywania gwarancji.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  <w:bookmarkStart w:id="2" w:name="_Hlk111560318"/>
            <w:bookmarkStart w:id="3" w:name="_Hlk111560318"/>
            <w:bookmarkEnd w:id="3"/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7486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74869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LibreOffice/6.1.0.3$Windows_X86_64 LibreOffice_project/efb621ed25068d70781dc026f7e9c5187a4decd1</Application>
  <Pages>3</Pages>
  <Words>717</Words>
  <Characters>4324</Characters>
  <CharactersWithSpaces>4943</CharactersWithSpaces>
  <Paragraphs>153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2022-09-05T09:21:00Z</dcterms:created>
  <dc:creator>Estera Urbaniak</dc:creator>
  <dc:description/>
  <dc:language>pl-PL</dc:language>
  <cp:lastModifiedBy/>
  <dcterms:modified xsi:type="dcterms:W3CDTF">2022-09-09T14:47:29Z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