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F9" w:rsidRDefault="00ED3CB8">
      <w:pPr>
        <w:spacing w:after="0" w:line="240" w:lineRule="auto"/>
        <w:jc w:val="right"/>
        <w:rPr>
          <w:rFonts w:asciiTheme="minorHAnsi" w:hAnsiTheme="minorHAnsi"/>
          <w:b/>
          <w:bCs/>
          <w:sz w:val="22"/>
          <w:szCs w:val="22"/>
          <w:highlight w:val="white"/>
        </w:rPr>
      </w:pPr>
      <w:r>
        <w:rPr>
          <w:rFonts w:asciiTheme="minorHAnsi" w:hAnsiTheme="minorHAnsi"/>
          <w:b/>
          <w:bCs/>
          <w:sz w:val="22"/>
          <w:szCs w:val="22"/>
          <w:highlight w:val="white"/>
        </w:rPr>
        <w:t>Załącznik nr 3 do SWZ</w:t>
      </w:r>
    </w:p>
    <w:p w:rsidR="00F800F9" w:rsidRDefault="00F800F9">
      <w:pPr>
        <w:spacing w:after="0" w:line="240" w:lineRule="auto"/>
        <w:rPr>
          <w:rFonts w:asciiTheme="minorHAnsi" w:hAnsiTheme="minorHAnsi"/>
          <w:sz w:val="22"/>
          <w:szCs w:val="22"/>
          <w:highlight w:val="white"/>
        </w:rPr>
      </w:pPr>
    </w:p>
    <w:p w:rsidR="00F800F9" w:rsidRDefault="00F800F9">
      <w:pPr>
        <w:spacing w:after="0" w:line="240" w:lineRule="auto"/>
        <w:rPr>
          <w:rFonts w:asciiTheme="minorHAnsi" w:hAnsiTheme="minorHAnsi"/>
          <w:sz w:val="22"/>
          <w:szCs w:val="22"/>
          <w:highlight w:val="white"/>
        </w:rPr>
      </w:pPr>
    </w:p>
    <w:p w:rsidR="00F800F9" w:rsidRDefault="00ED3CB8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  <w:highlight w:val="white"/>
        </w:rPr>
      </w:pPr>
      <w:r>
        <w:rPr>
          <w:rFonts w:asciiTheme="minorHAnsi" w:hAnsiTheme="minorHAnsi"/>
          <w:b/>
          <w:color w:val="000000"/>
          <w:sz w:val="22"/>
          <w:szCs w:val="22"/>
          <w:highlight w:val="white"/>
        </w:rPr>
        <w:t>Opis przedmiotu zam</w:t>
      </w:r>
      <w:r>
        <w:rPr>
          <w:rFonts w:asciiTheme="minorHAnsi" w:hAnsiTheme="minorHAnsi"/>
          <w:b/>
          <w:sz w:val="22"/>
          <w:szCs w:val="22"/>
          <w:highlight w:val="white"/>
        </w:rPr>
        <w:t>ówienia</w:t>
      </w:r>
    </w:p>
    <w:p w:rsidR="00F800F9" w:rsidRDefault="00ED3CB8">
      <w:pPr>
        <w:spacing w:after="0" w:line="240" w:lineRule="auto"/>
        <w:jc w:val="center"/>
      </w:pPr>
      <w:r>
        <w:rPr>
          <w:rFonts w:asciiTheme="minorHAnsi" w:hAnsiTheme="minorHAnsi"/>
          <w:b/>
          <w:color w:val="000000"/>
          <w:sz w:val="22"/>
          <w:szCs w:val="22"/>
          <w:highlight w:val="white"/>
        </w:rPr>
        <w:t xml:space="preserve">Usługa sterylizacji materiału </w:t>
      </w:r>
    </w:p>
    <w:p w:rsidR="00F800F9" w:rsidRDefault="00F800F9">
      <w:pPr>
        <w:spacing w:after="0" w:line="240" w:lineRule="auto"/>
        <w:rPr>
          <w:rFonts w:asciiTheme="minorHAnsi" w:hAnsiTheme="minorHAnsi"/>
          <w:b/>
          <w:color w:val="FF0000"/>
          <w:sz w:val="22"/>
          <w:szCs w:val="22"/>
          <w:highlight w:val="white"/>
        </w:rPr>
      </w:pPr>
    </w:p>
    <w:p w:rsidR="00F800F9" w:rsidRDefault="00ED3CB8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2"/>
          <w:szCs w:val="22"/>
          <w:highlight w:val="white"/>
        </w:rPr>
      </w:pPr>
      <w:r>
        <w:rPr>
          <w:rFonts w:asciiTheme="minorHAnsi" w:hAnsiTheme="minorHAnsi"/>
          <w:b/>
          <w:sz w:val="22"/>
          <w:szCs w:val="22"/>
          <w:highlight w:val="white"/>
        </w:rPr>
        <w:t>OGÓLNY ZAKRES PRZEDMIOTU ZAMÓWIENIA</w:t>
      </w:r>
    </w:p>
    <w:p w:rsidR="00F800F9" w:rsidRDefault="00ED3CB8">
      <w:pPr>
        <w:spacing w:after="0" w:line="240" w:lineRule="auto"/>
        <w:ind w:left="720"/>
        <w:jc w:val="both"/>
        <w:rPr>
          <w:rFonts w:asciiTheme="minorHAnsi" w:hAnsiTheme="minorHAnsi"/>
          <w:b/>
          <w:sz w:val="22"/>
          <w:szCs w:val="22"/>
          <w:highlight w:val="white"/>
        </w:rPr>
      </w:pPr>
      <w:r>
        <w:rPr>
          <w:rFonts w:asciiTheme="minorHAnsi" w:hAnsiTheme="minorHAnsi"/>
          <w:color w:val="000000"/>
          <w:sz w:val="22"/>
          <w:szCs w:val="22"/>
          <w:highlight w:val="white"/>
        </w:rPr>
        <w:t>Przedmiotem zamówienia jest usługa sterylizacji parowej dla Samodzielnego Publicznego Zakładu Opieki Zdrowotnej w Słupcy.</w:t>
      </w:r>
    </w:p>
    <w:p w:rsidR="00F800F9" w:rsidRDefault="00ED3CB8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2"/>
          <w:szCs w:val="22"/>
          <w:highlight w:val="white"/>
        </w:rPr>
      </w:pPr>
      <w:r>
        <w:rPr>
          <w:rFonts w:asciiTheme="minorHAnsi" w:hAnsiTheme="minorHAnsi"/>
          <w:b/>
          <w:sz w:val="22"/>
          <w:szCs w:val="22"/>
          <w:highlight w:val="white"/>
        </w:rPr>
        <w:t>SZCZEGÓŁOWE WYMAGANIA DOTYCZĄCE PRZEDMIOTU ZAMÓWIENIA</w:t>
      </w:r>
    </w:p>
    <w:p w:rsidR="00F800F9" w:rsidRDefault="00ED3CB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/>
          <w:color w:val="000000"/>
          <w:sz w:val="22"/>
          <w:szCs w:val="22"/>
          <w:highlight w:val="white"/>
        </w:rPr>
        <w:t>Wykonawca zapewnia oznakowanie każdej partii rzeczy po wykonanej usłudze sterylizacji, w szczególności datą sterylizacji i potwierdzeniem poddania jej kontroli sterylizacji i rejestracji procesów sterylizacji.</w:t>
      </w:r>
      <w:r>
        <w:rPr>
          <w:rFonts w:asciiTheme="minorHAnsi" w:hAnsiTheme="minorHAnsi"/>
          <w:sz w:val="22"/>
          <w:szCs w:val="22"/>
          <w:highlight w:val="white"/>
        </w:rPr>
        <w:t xml:space="preserve"> Dokumentacja przeprowadzanych procesów sterylizacji tworzona musi być automatycznie w postaci wydruków. </w:t>
      </w:r>
    </w:p>
    <w:p w:rsidR="00F800F9" w:rsidRDefault="00ED3CB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2"/>
          <w:szCs w:val="22"/>
          <w:highlight w:val="white"/>
        </w:rPr>
      </w:pPr>
      <w:r>
        <w:rPr>
          <w:rFonts w:asciiTheme="minorHAnsi" w:hAnsiTheme="minorHAnsi"/>
          <w:sz w:val="22"/>
          <w:szCs w:val="22"/>
          <w:highlight w:val="white"/>
        </w:rPr>
        <w:t xml:space="preserve">Zamawiający będzie powierzał Wykonawcy materiał, który bezpośrednio po użyciu zostanie poddany myciu i dezynfekcji wstępnej zgodnie z obowiązującymi zasadami </w:t>
      </w:r>
      <w:proofErr w:type="spellStart"/>
      <w:r>
        <w:rPr>
          <w:rFonts w:asciiTheme="minorHAnsi" w:hAnsiTheme="minorHAnsi"/>
          <w:sz w:val="22"/>
          <w:szCs w:val="22"/>
          <w:highlight w:val="white"/>
        </w:rPr>
        <w:t>sanitarno</w:t>
      </w:r>
      <w:proofErr w:type="spellEnd"/>
      <w:r>
        <w:rPr>
          <w:rFonts w:asciiTheme="minorHAnsi" w:hAnsiTheme="minorHAnsi"/>
          <w:sz w:val="22"/>
          <w:szCs w:val="22"/>
          <w:highlight w:val="white"/>
        </w:rPr>
        <w:t xml:space="preserve"> - epidemiologicznymi. </w:t>
      </w:r>
    </w:p>
    <w:p w:rsidR="00F800F9" w:rsidRDefault="00ED3CB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2"/>
          <w:szCs w:val="22"/>
          <w:highlight w:val="white"/>
        </w:rPr>
      </w:pPr>
      <w:r>
        <w:rPr>
          <w:rFonts w:asciiTheme="minorHAnsi" w:hAnsiTheme="minorHAnsi"/>
          <w:sz w:val="22"/>
          <w:szCs w:val="22"/>
          <w:highlight w:val="white"/>
        </w:rPr>
        <w:t>Mycie i dezynfekcja musi odbywać się w automatycznych przelotowych urządzeniach. Przebieg procesu musi być udokumentowany.</w:t>
      </w:r>
    </w:p>
    <w:p w:rsidR="00F800F9" w:rsidRDefault="00ED3CB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/>
          <w:color w:val="000000"/>
          <w:sz w:val="22"/>
          <w:szCs w:val="22"/>
          <w:highlight w:val="white"/>
        </w:rPr>
        <w:t xml:space="preserve">Usługa sterylizacji wykonywana będzie zgodnie z obowiązującymi przepisami,                     </w:t>
      </w:r>
      <w:r>
        <w:rPr>
          <w:rFonts w:asciiTheme="minorHAnsi" w:hAnsiTheme="minorHAnsi"/>
          <w:sz w:val="22"/>
          <w:szCs w:val="22"/>
          <w:highlight w:val="white"/>
        </w:rPr>
        <w:t>w szczególności:</w:t>
      </w:r>
      <w:r>
        <w:rPr>
          <w:rFonts w:asciiTheme="minorHAnsi" w:hAnsiTheme="minorHAnsi"/>
          <w:color w:val="000000"/>
          <w:sz w:val="22"/>
          <w:szCs w:val="22"/>
          <w:highlight w:val="white"/>
        </w:rPr>
        <w:t xml:space="preserve"> </w:t>
      </w:r>
    </w:p>
    <w:p w:rsidR="00F800F9" w:rsidRDefault="00ED3CB8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/>
          <w:color w:val="000000"/>
          <w:sz w:val="22"/>
          <w:szCs w:val="22"/>
          <w:highlight w:val="white"/>
        </w:rPr>
        <w:t>ustawą z dnia 05 grudnia 2008 r. o zapobieganiu oraz zwalczaniu zakażeń                    i chorób zakaźnych u ludzi</w:t>
      </w:r>
    </w:p>
    <w:p w:rsidR="00F800F9" w:rsidRDefault="00ED3CB8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highlight w:val="white"/>
        </w:rPr>
      </w:pPr>
      <w:r>
        <w:rPr>
          <w:rFonts w:asciiTheme="minorHAnsi" w:hAnsiTheme="minorHAnsi"/>
          <w:color w:val="000000"/>
          <w:sz w:val="22"/>
          <w:szCs w:val="22"/>
          <w:highlight w:val="white"/>
        </w:rPr>
        <w:t>ustawą z dnia 20 maja 2010 r. o wyrobach medycznych</w:t>
      </w:r>
    </w:p>
    <w:p w:rsidR="00F800F9" w:rsidRDefault="00ED3CB8">
      <w:pPr>
        <w:widowControl w:val="0"/>
        <w:numPr>
          <w:ilvl w:val="0"/>
          <w:numId w:val="3"/>
        </w:numPr>
        <w:spacing w:after="0" w:line="240" w:lineRule="auto"/>
        <w:jc w:val="both"/>
      </w:pPr>
      <w:r>
        <w:rPr>
          <w:rFonts w:asciiTheme="minorHAnsi" w:hAnsiTheme="minorHAnsi"/>
          <w:sz w:val="22"/>
          <w:szCs w:val="22"/>
        </w:rPr>
        <w:t>pomieszczenia, w których wykonywana jest usługa muszą odpowiadać wymaganiom Rozporządzenia Ministra Zdrowia z dnia 26 marca 2019 roku       w sprawie szczegółowych wymagań, jakim powinny odpowiadać pomieszczenia i urządzenia podmiotu wykonującego działalność leczniczą,        w szczególności stosowane muszą być stałe bariery higieniczne oddzielające materiał skażony od czystego i sterylnego, a obiekt musi znajdować się pod stałym nadzorem sanitarnym – na potwierdzenie pozytywna opinię właściwego miejscowo inspektoratu sanitarnego.</w:t>
      </w:r>
    </w:p>
    <w:p w:rsidR="00F800F9" w:rsidRDefault="00ED3CB8">
      <w:pPr>
        <w:numPr>
          <w:ilvl w:val="0"/>
          <w:numId w:val="2"/>
        </w:numPr>
        <w:spacing w:after="0" w:line="240" w:lineRule="auto"/>
        <w:jc w:val="both"/>
      </w:pPr>
      <w:r>
        <w:rPr>
          <w:rFonts w:asciiTheme="minorHAnsi" w:hAnsiTheme="minorHAnsi"/>
          <w:sz w:val="22"/>
          <w:szCs w:val="22"/>
          <w:highlight w:val="white"/>
        </w:rPr>
        <w:t xml:space="preserve">Sterylizacja materiału musi odbywać się w procesie </w:t>
      </w:r>
      <w:proofErr w:type="spellStart"/>
      <w:r>
        <w:rPr>
          <w:rFonts w:asciiTheme="minorHAnsi" w:hAnsiTheme="minorHAnsi"/>
          <w:sz w:val="22"/>
          <w:szCs w:val="22"/>
          <w:highlight w:val="white"/>
        </w:rPr>
        <w:t>zwalidowanym</w:t>
      </w:r>
      <w:proofErr w:type="spellEnd"/>
      <w:r>
        <w:rPr>
          <w:rFonts w:asciiTheme="minorHAnsi" w:hAnsiTheme="minorHAnsi"/>
          <w:sz w:val="22"/>
          <w:szCs w:val="22"/>
          <w:highlight w:val="white"/>
        </w:rPr>
        <w:t>, co potwierdzone jest aktualnym raportem rewalidacji procesu sterylizacji. Wymagana jest zgodność procesu ze wszystkimi obowiązującymi normami w tym zakresie. Zamawiający wymaga wykonania sterylizacji materiału w temperaturze 121°C i 134°C.</w:t>
      </w:r>
    </w:p>
    <w:p w:rsidR="00F800F9" w:rsidRDefault="00ED3CB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2"/>
          <w:szCs w:val="22"/>
          <w:highlight w:val="white"/>
        </w:rPr>
      </w:pPr>
      <w:r>
        <w:rPr>
          <w:rFonts w:asciiTheme="minorHAnsi" w:hAnsiTheme="minorHAnsi"/>
          <w:sz w:val="22"/>
          <w:szCs w:val="22"/>
        </w:rPr>
        <w:t>Do pakietowania będą używane opakowania sterylizacyjne spełniające następujące wymagania:</w:t>
      </w:r>
    </w:p>
    <w:p w:rsidR="00F800F9" w:rsidRDefault="00ED3CB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opakowanie foliowo – papierowe:  widoczna zawartość, napisy poza obszarem wypełnienia, napisy w języku polskim, min. 6 warstw folii, papier min. 60 g/m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, zgodne z PN EN 868-5;PN EN ISO 11 607 – 1 i 2, EN ISO 11140 (wskaźniki sterylizacji na opakowaniu);</w:t>
      </w:r>
    </w:p>
    <w:p w:rsidR="00F800F9" w:rsidRDefault="00ED3CB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papier sterylizacyjny (krepowy): min. 2 opakowania i w razie potrzeby                    2 opakowania i włóknina zgodne z PN-EN 868-2:2009 Materiały opakowaniowe dla finalnie sterylizowanych wyrobów medycznych – Część 2: Materiały opakowaniowe do sterylizacji - Wymagania i metody badań;</w:t>
      </w:r>
    </w:p>
    <w:p w:rsidR="00F800F9" w:rsidRDefault="00ED3CB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papier sterylizacyjny długoterminowy – 2 opakowania z gwarancją sterylizacji 6 miesięcy.</w:t>
      </w:r>
    </w:p>
    <w:p w:rsidR="00F800F9" w:rsidRDefault="00ED3CB8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Theme="minorHAnsi" w:hAnsiTheme="minorHAnsi"/>
          <w:sz w:val="22"/>
          <w:szCs w:val="22"/>
        </w:rPr>
        <w:t>Zamawiający będzie przekazywał materiał do sterylizacji z częstotliwością jeden raz dziennie w dni robocze od poniedziałku do czwartku do godziny 8.30, natomiast              w piątek dwa razy dziennie – rano w godzinach 8.00-8.30, po południu w godzinach 14.30-15.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00 w ilości określonej każdorazowo w protokole przekazania/przyjęcia. </w:t>
      </w:r>
      <w:bookmarkStart w:id="1" w:name="__DdeLink__2012_1659143294"/>
      <w:r w:rsidRPr="00811C58">
        <w:rPr>
          <w:rFonts w:asciiTheme="minorHAnsi" w:hAnsiTheme="minorHAnsi"/>
          <w:sz w:val="22"/>
          <w:szCs w:val="22"/>
        </w:rPr>
        <w:lastRenderedPageBreak/>
        <w:t xml:space="preserve">Usługa zostanie wykonana w terminie 24 godzin w dni robocze od poniedziałku do czwartku, natomiast materiał przekazany w piątek rano w godz. 8.00-8.30 będzie zwrócony w piątek popołudniu w godz. 14.30-15.00, a materiał przekazany w piątek po południu zostanie zwrócony w poniedziałek do godz. 8.30, </w:t>
      </w:r>
      <w:bookmarkEnd w:id="1"/>
      <w:r>
        <w:rPr>
          <w:rFonts w:asciiTheme="minorHAnsi" w:hAnsiTheme="minorHAnsi"/>
          <w:sz w:val="22"/>
          <w:szCs w:val="22"/>
        </w:rPr>
        <w:t>a zwrot potwierdzony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protokołem wydania/przyjęcia. W soboty i niedziele oraz w dni świąteczne                           w zależności od potrzeby po uzgodnieniu telefonicznym. </w:t>
      </w:r>
    </w:p>
    <w:p w:rsidR="00F800F9" w:rsidRDefault="00ED3CB8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r>
        <w:rPr>
          <w:rFonts w:asciiTheme="minorHAnsi" w:hAnsiTheme="minorHAnsi"/>
          <w:sz w:val="22"/>
          <w:szCs w:val="22"/>
        </w:rPr>
        <w:t>Zamawiający przewiduje możliwość zlecenia danego dnia wykonania dodatkowej usługi sterylizacji materiału brudnego lub dostawy czystego. Przekazanie materiału do sterylizacji nastąpi również na podstawie protokołu przekazania / przyjęcia, a zwrot potwierdzony protokołem wydania / przyjęcia.</w:t>
      </w:r>
    </w:p>
    <w:p w:rsidR="00F800F9" w:rsidRDefault="00ED3C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bookmarkStart w:id="2" w:name="__DdeLink__2183_2283928029"/>
      <w:r>
        <w:rPr>
          <w:rFonts w:asciiTheme="minorHAnsi" w:hAnsiTheme="minorHAnsi"/>
          <w:sz w:val="22"/>
          <w:szCs w:val="22"/>
        </w:rPr>
        <w:t>Wykonawca ma obowiązek dostarczyć Zamawiającemu aktualnie obowiązującą procedurę dekontaminacji.</w:t>
      </w:r>
      <w:bookmarkEnd w:id="2"/>
    </w:p>
    <w:p w:rsidR="00F800F9" w:rsidRDefault="00ED3CB8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Theme="minorHAnsi" w:hAnsiTheme="minorHAnsi"/>
          <w:sz w:val="22"/>
          <w:szCs w:val="22"/>
        </w:rPr>
        <w:t xml:space="preserve">Wykonawca ma obowiązek zapewnić dwa wózki transportowe oraz 8 kuwet o min. wymiarach: szerokość 45 cm, długość 64 cm, wysokość 22 cm. </w:t>
      </w:r>
    </w:p>
    <w:sectPr w:rsidR="00F800F9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713"/>
    <w:multiLevelType w:val="multilevel"/>
    <w:tmpl w:val="C1C4F1B0"/>
    <w:lvl w:ilvl="0">
      <w:start w:val="1"/>
      <w:numFmt w:val="lowerLetter"/>
      <w:lvlText w:val="%1)"/>
      <w:lvlJc w:val="left"/>
      <w:pPr>
        <w:ind w:left="2160" w:hanging="360"/>
      </w:pPr>
      <w:rPr>
        <w:rFonts w:ascii="Calibri" w:hAnsi="Calibri"/>
        <w:strike w:val="0"/>
        <w:dstrike w:val="0"/>
        <w:sz w:val="22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1D709AC"/>
    <w:multiLevelType w:val="multilevel"/>
    <w:tmpl w:val="57A6D5D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7F0841"/>
    <w:multiLevelType w:val="multilevel"/>
    <w:tmpl w:val="99EA44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trike w:val="0"/>
        <w:dstrike w:val="0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1184B86"/>
    <w:multiLevelType w:val="multilevel"/>
    <w:tmpl w:val="267CB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AA5481D"/>
    <w:multiLevelType w:val="multilevel"/>
    <w:tmpl w:val="AE266088"/>
    <w:lvl w:ilvl="0">
      <w:start w:val="1"/>
      <w:numFmt w:val="lowerLetter"/>
      <w:lvlText w:val="%1)"/>
      <w:lvlJc w:val="left"/>
      <w:pPr>
        <w:ind w:left="2160" w:hanging="360"/>
      </w:pPr>
      <w:rPr>
        <w:rFonts w:ascii="Calibri" w:hAnsi="Calibri"/>
        <w:strike w:val="0"/>
        <w:dstrike w:val="0"/>
        <w:sz w:val="22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F9"/>
    <w:rsid w:val="00811C58"/>
    <w:rsid w:val="00ED3CB8"/>
    <w:rsid w:val="00F8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4251D-4014-4931-B16B-8EEA689F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85E"/>
    <w:pPr>
      <w:spacing w:after="200" w:line="276" w:lineRule="auto"/>
    </w:pPr>
    <w:rPr>
      <w:rFonts w:ascii="Arial" w:eastAsia="Arial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b/>
      <w:strike w:val="0"/>
      <w:dstrike w:val="0"/>
      <w:sz w:val="22"/>
      <w:u w:val="none"/>
      <w:effect w:val="none"/>
    </w:rPr>
  </w:style>
  <w:style w:type="character" w:customStyle="1" w:styleId="ListLabel2">
    <w:name w:val="ListLabel 2"/>
    <w:qFormat/>
    <w:rPr>
      <w:strike w:val="0"/>
      <w:dstrike w:val="0"/>
      <w:u w:val="none"/>
      <w:effect w:val="none"/>
    </w:rPr>
  </w:style>
  <w:style w:type="character" w:customStyle="1" w:styleId="ListLabel3">
    <w:name w:val="ListLabel 3"/>
    <w:qFormat/>
    <w:rPr>
      <w:strike w:val="0"/>
      <w:dstrike w:val="0"/>
      <w:u w:val="none"/>
      <w:effect w:val="none"/>
    </w:rPr>
  </w:style>
  <w:style w:type="character" w:customStyle="1" w:styleId="ListLabel4">
    <w:name w:val="ListLabel 4"/>
    <w:qFormat/>
    <w:rPr>
      <w:strike w:val="0"/>
      <w:dstrike w:val="0"/>
      <w:u w:val="none"/>
      <w:effect w:val="none"/>
    </w:rPr>
  </w:style>
  <w:style w:type="character" w:customStyle="1" w:styleId="ListLabel5">
    <w:name w:val="ListLabel 5"/>
    <w:qFormat/>
    <w:rPr>
      <w:strike w:val="0"/>
      <w:dstrike w:val="0"/>
      <w:u w:val="none"/>
      <w:effect w:val="none"/>
    </w:rPr>
  </w:style>
  <w:style w:type="character" w:customStyle="1" w:styleId="ListLabel6">
    <w:name w:val="ListLabel 6"/>
    <w:qFormat/>
    <w:rPr>
      <w:strike w:val="0"/>
      <w:dstrike w:val="0"/>
      <w:u w:val="none"/>
      <w:effect w:val="none"/>
    </w:rPr>
  </w:style>
  <w:style w:type="character" w:customStyle="1" w:styleId="ListLabel7">
    <w:name w:val="ListLabel 7"/>
    <w:qFormat/>
    <w:rPr>
      <w:strike w:val="0"/>
      <w:dstrike w:val="0"/>
      <w:u w:val="none"/>
      <w:effect w:val="none"/>
    </w:rPr>
  </w:style>
  <w:style w:type="character" w:customStyle="1" w:styleId="ListLabel8">
    <w:name w:val="ListLabel 8"/>
    <w:qFormat/>
    <w:rPr>
      <w:strike w:val="0"/>
      <w:dstrike w:val="0"/>
      <w:u w:val="none"/>
      <w:effect w:val="none"/>
    </w:rPr>
  </w:style>
  <w:style w:type="character" w:customStyle="1" w:styleId="ListLabel9">
    <w:name w:val="ListLabel 9"/>
    <w:qFormat/>
    <w:rPr>
      <w:strike w:val="0"/>
      <w:dstrike w:val="0"/>
      <w:u w:val="none"/>
      <w:effect w:val="none"/>
    </w:rPr>
  </w:style>
  <w:style w:type="character" w:customStyle="1" w:styleId="ListLabel10">
    <w:name w:val="ListLabel 10"/>
    <w:qFormat/>
    <w:rPr>
      <w:rFonts w:ascii="Calibri" w:hAnsi="Calibri"/>
      <w:strike w:val="0"/>
      <w:dstrike w:val="0"/>
      <w:sz w:val="22"/>
      <w:u w:val="none"/>
      <w:effect w:val="none"/>
    </w:rPr>
  </w:style>
  <w:style w:type="character" w:customStyle="1" w:styleId="ListLabel11">
    <w:name w:val="ListLabel 11"/>
    <w:qFormat/>
    <w:rPr>
      <w:strike w:val="0"/>
      <w:dstrike w:val="0"/>
      <w:u w:val="none"/>
      <w:effect w:val="none"/>
    </w:rPr>
  </w:style>
  <w:style w:type="character" w:customStyle="1" w:styleId="ListLabel12">
    <w:name w:val="ListLabel 12"/>
    <w:qFormat/>
    <w:rPr>
      <w:strike w:val="0"/>
      <w:dstrike w:val="0"/>
      <w:u w:val="none"/>
      <w:effect w:val="none"/>
    </w:rPr>
  </w:style>
  <w:style w:type="character" w:customStyle="1" w:styleId="ListLabel13">
    <w:name w:val="ListLabel 13"/>
    <w:qFormat/>
    <w:rPr>
      <w:strike w:val="0"/>
      <w:dstrike w:val="0"/>
      <w:u w:val="none"/>
      <w:effect w:val="none"/>
    </w:rPr>
  </w:style>
  <w:style w:type="character" w:customStyle="1" w:styleId="ListLabel14">
    <w:name w:val="ListLabel 14"/>
    <w:qFormat/>
    <w:rPr>
      <w:strike w:val="0"/>
      <w:dstrike w:val="0"/>
      <w:u w:val="none"/>
      <w:effect w:val="none"/>
    </w:rPr>
  </w:style>
  <w:style w:type="character" w:customStyle="1" w:styleId="ListLabel15">
    <w:name w:val="ListLabel 15"/>
    <w:qFormat/>
    <w:rPr>
      <w:strike w:val="0"/>
      <w:dstrike w:val="0"/>
      <w:u w:val="none"/>
      <w:effect w:val="none"/>
    </w:rPr>
  </w:style>
  <w:style w:type="character" w:customStyle="1" w:styleId="ListLabel16">
    <w:name w:val="ListLabel 16"/>
    <w:qFormat/>
    <w:rPr>
      <w:strike w:val="0"/>
      <w:dstrike w:val="0"/>
      <w:u w:val="none"/>
      <w:effect w:val="none"/>
    </w:rPr>
  </w:style>
  <w:style w:type="character" w:customStyle="1" w:styleId="ListLabel17">
    <w:name w:val="ListLabel 17"/>
    <w:qFormat/>
    <w:rPr>
      <w:strike w:val="0"/>
      <w:dstrike w:val="0"/>
      <w:u w:val="none"/>
      <w:effect w:val="none"/>
    </w:rPr>
  </w:style>
  <w:style w:type="character" w:customStyle="1" w:styleId="ListLabel18">
    <w:name w:val="ListLabel 18"/>
    <w:qFormat/>
    <w:rPr>
      <w:strike w:val="0"/>
      <w:dstrike w:val="0"/>
      <w:u w:val="none"/>
      <w:effect w:val="none"/>
    </w:rPr>
  </w:style>
  <w:style w:type="character" w:customStyle="1" w:styleId="ListLabel19">
    <w:name w:val="ListLabel 19"/>
    <w:qFormat/>
    <w:rPr>
      <w:rFonts w:ascii="Calibri" w:hAnsi="Calibri"/>
      <w:strike w:val="0"/>
      <w:dstrike w:val="0"/>
      <w:sz w:val="22"/>
      <w:u w:val="none"/>
      <w:effect w:val="none"/>
    </w:rPr>
  </w:style>
  <w:style w:type="character" w:customStyle="1" w:styleId="ListLabel20">
    <w:name w:val="ListLabel 20"/>
    <w:qFormat/>
    <w:rPr>
      <w:strike w:val="0"/>
      <w:dstrike w:val="0"/>
      <w:u w:val="none"/>
      <w:effect w:val="none"/>
    </w:rPr>
  </w:style>
  <w:style w:type="character" w:customStyle="1" w:styleId="ListLabel21">
    <w:name w:val="ListLabel 21"/>
    <w:qFormat/>
    <w:rPr>
      <w:strike w:val="0"/>
      <w:dstrike w:val="0"/>
      <w:u w:val="none"/>
      <w:effect w:val="none"/>
    </w:rPr>
  </w:style>
  <w:style w:type="character" w:customStyle="1" w:styleId="ListLabel22">
    <w:name w:val="ListLabel 22"/>
    <w:qFormat/>
    <w:rPr>
      <w:strike w:val="0"/>
      <w:dstrike w:val="0"/>
      <w:u w:val="none"/>
      <w:effect w:val="none"/>
    </w:rPr>
  </w:style>
  <w:style w:type="character" w:customStyle="1" w:styleId="ListLabel23">
    <w:name w:val="ListLabel 23"/>
    <w:qFormat/>
    <w:rPr>
      <w:strike w:val="0"/>
      <w:dstrike w:val="0"/>
      <w:u w:val="none"/>
      <w:effect w:val="none"/>
    </w:rPr>
  </w:style>
  <w:style w:type="character" w:customStyle="1" w:styleId="ListLabel24">
    <w:name w:val="ListLabel 24"/>
    <w:qFormat/>
    <w:rPr>
      <w:strike w:val="0"/>
      <w:dstrike w:val="0"/>
      <w:u w:val="none"/>
      <w:effect w:val="none"/>
    </w:rPr>
  </w:style>
  <w:style w:type="character" w:customStyle="1" w:styleId="ListLabel25">
    <w:name w:val="ListLabel 25"/>
    <w:qFormat/>
    <w:rPr>
      <w:strike w:val="0"/>
      <w:dstrike w:val="0"/>
      <w:u w:val="none"/>
      <w:effect w:val="none"/>
    </w:rPr>
  </w:style>
  <w:style w:type="character" w:customStyle="1" w:styleId="ListLabel26">
    <w:name w:val="ListLabel 26"/>
    <w:qFormat/>
    <w:rPr>
      <w:strike w:val="0"/>
      <w:dstrike w:val="0"/>
      <w:u w:val="none"/>
      <w:effect w:val="none"/>
    </w:rPr>
  </w:style>
  <w:style w:type="character" w:customStyle="1" w:styleId="ListLabel27">
    <w:name w:val="ListLabel 27"/>
    <w:qFormat/>
    <w:rPr>
      <w:strike w:val="0"/>
      <w:dstrike w:val="0"/>
      <w:u w:val="none"/>
      <w:effect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53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Estera Urbaniak</cp:lastModifiedBy>
  <cp:revision>12</cp:revision>
  <cp:lastPrinted>2022-03-24T09:23:00Z</cp:lastPrinted>
  <dcterms:created xsi:type="dcterms:W3CDTF">2022-01-17T12:20:00Z</dcterms:created>
  <dcterms:modified xsi:type="dcterms:W3CDTF">2022-03-24T14:30:00Z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